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EBBC" w14:textId="77777777" w:rsidR="00DF6AC4" w:rsidRPr="00DF6AC4" w:rsidRDefault="00DF6AC4" w:rsidP="00DF6AC4">
      <w:pPr>
        <w:spacing w:before="240" w:after="240" w:line="360" w:lineRule="auto"/>
        <w:jc w:val="both"/>
        <w:rPr>
          <w:rFonts w:ascii="Calibri" w:hAnsi="Calibri" w:cs="Calibri"/>
        </w:rPr>
      </w:pPr>
      <w:r w:rsidRPr="00DF6AC4">
        <w:rPr>
          <w:rFonts w:ascii="Calibri" w:hAnsi="Calibri" w:cs="Calibri"/>
        </w:rPr>
        <w:t xml:space="preserve">Read the following case study: </w:t>
      </w:r>
      <w:r w:rsidRPr="00DF6AC4">
        <w:rPr>
          <w:rFonts w:ascii="Calibri" w:hAnsi="Calibri" w:cs="Calibri"/>
          <w:b/>
          <w:bCs/>
        </w:rPr>
        <w:t>GreenTech Solar Energy Project</w:t>
      </w:r>
    </w:p>
    <w:p w14:paraId="12076BE2" w14:textId="72307A5A" w:rsidR="00DF6AC4" w:rsidRPr="00DF6AC4" w:rsidRDefault="00DF6AC4" w:rsidP="00DF6AC4">
      <w:pPr>
        <w:spacing w:before="240" w:after="240" w:line="360" w:lineRule="auto"/>
        <w:jc w:val="both"/>
        <w:rPr>
          <w:rFonts w:ascii="Calibri" w:hAnsi="Calibri" w:cs="Calibri"/>
        </w:rPr>
      </w:pPr>
      <w:r w:rsidRPr="00DF6AC4">
        <w:rPr>
          <w:rFonts w:ascii="Calibri" w:hAnsi="Calibri" w:cs="Calibri"/>
        </w:rPr>
        <w:t xml:space="preserve">In the bustling mid-sized city of Greenfield, a transformative initiative was underway. The GreenTech Solar Energy Project aimed to revolutionize the city's energy landscape by harnessing the power of the sun. The project was born out of a collective desire to reduce carbon emissions and promote clean energy, driven by a coalition of government agencies, private investors, and community </w:t>
      </w:r>
      <w:r w:rsidRPr="00DF6AC4">
        <w:rPr>
          <w:rFonts w:ascii="Calibri" w:hAnsi="Calibri" w:cs="Calibri"/>
        </w:rPr>
        <w:t>members. The</w:t>
      </w:r>
      <w:r w:rsidRPr="00DF6AC4">
        <w:rPr>
          <w:rFonts w:ascii="Calibri" w:hAnsi="Calibri" w:cs="Calibri"/>
        </w:rPr>
        <w:t xml:space="preserve"> journey began with a vision—a vision to achieve a 30% reduction in carbon emissions within five years and to increase the city's reliance on renewable energy sources to 50%. The project team, led by the passionate and determined project manager, Sarah, embarked on a strategic planning process that would lay the foundation for this ambitious </w:t>
      </w:r>
      <w:r w:rsidRPr="00DF6AC4">
        <w:rPr>
          <w:rFonts w:ascii="Calibri" w:hAnsi="Calibri" w:cs="Calibri"/>
        </w:rPr>
        <w:t>endeavour</w:t>
      </w:r>
      <w:r w:rsidRPr="00DF6AC4">
        <w:rPr>
          <w:rFonts w:ascii="Calibri" w:hAnsi="Calibri" w:cs="Calibri"/>
        </w:rPr>
        <w:t>.</w:t>
      </w:r>
    </w:p>
    <w:p w14:paraId="41C275BF" w14:textId="58CC0F22" w:rsidR="00DF6AC4" w:rsidRPr="00DF6AC4" w:rsidRDefault="00DF6AC4" w:rsidP="00DF6AC4">
      <w:pPr>
        <w:spacing w:before="240" w:after="240" w:line="360" w:lineRule="auto"/>
        <w:jc w:val="both"/>
        <w:rPr>
          <w:rFonts w:ascii="Calibri" w:hAnsi="Calibri" w:cs="Calibri"/>
        </w:rPr>
      </w:pPr>
      <w:r w:rsidRPr="00DF6AC4">
        <w:rPr>
          <w:rFonts w:ascii="Calibri" w:hAnsi="Calibri" w:cs="Calibri"/>
        </w:rPr>
        <w:t xml:space="preserve">Sarah knew that the success of the GreenTech Solar Energy Project hinged on the involvement of the community. She organized town hall meetings, workshops, and informational sessions to engage local residents and businesses. These events were filled with lively discussions, where stakeholders voiced their hopes, concerns, and ideas. Through these interactions, Sarah and her team were able to gather valuable insights and build strong support for the </w:t>
      </w:r>
      <w:r w:rsidRPr="00DF6AC4">
        <w:rPr>
          <w:rFonts w:ascii="Calibri" w:hAnsi="Calibri" w:cs="Calibri"/>
        </w:rPr>
        <w:t>project. With</w:t>
      </w:r>
      <w:r w:rsidRPr="00DF6AC4">
        <w:rPr>
          <w:rFonts w:ascii="Calibri" w:hAnsi="Calibri" w:cs="Calibri"/>
        </w:rPr>
        <w:t xml:space="preserve"> the community on board, the team conducted a comprehensive sustainability assessment. They examined the potential environmental, social, and economic impacts of the project, ensuring that every aspect was carefully considered. The assessment revealed several challenges, including the potential disruption to local ecosystems and the need for regulatory compliance. Undeterred, Sarah and her team developed a detailed sustainability plan that prioritized ethical resource management, efficient energy usage, minimal waste generation, and equitable stakeholder engagement. </w:t>
      </w:r>
    </w:p>
    <w:p w14:paraId="2002BF89" w14:textId="276D7022" w:rsidR="00DF6AC4" w:rsidRPr="00DF6AC4" w:rsidRDefault="00DF6AC4" w:rsidP="00DF6AC4">
      <w:pPr>
        <w:spacing w:before="240" w:after="240" w:line="360" w:lineRule="auto"/>
        <w:jc w:val="both"/>
        <w:rPr>
          <w:rFonts w:ascii="Calibri" w:hAnsi="Calibri" w:cs="Calibri"/>
        </w:rPr>
      </w:pPr>
      <w:r w:rsidRPr="00DF6AC4">
        <w:rPr>
          <w:rFonts w:ascii="Calibri" w:hAnsi="Calibri" w:cs="Calibri"/>
        </w:rPr>
        <w:t>As the project moved forward, the team faced numerous risks. Environmental risks loomed large, with concerns about the impact of the solar farm on local wildlife and habitats. Regulatory risks also posed a threat, as changes in government policies could affect funding and implementation. Social risks emerged as some residents expressed concerns about the aesthetics of solar panels and potential disruptions during installation.</w:t>
      </w:r>
    </w:p>
    <w:p w14:paraId="247AAC7C" w14:textId="77777777" w:rsidR="00DF6AC4" w:rsidRPr="00DF6AC4" w:rsidRDefault="00DF6AC4" w:rsidP="00DF6AC4">
      <w:pPr>
        <w:spacing w:before="240" w:after="240" w:line="360" w:lineRule="auto"/>
        <w:jc w:val="both"/>
        <w:rPr>
          <w:rFonts w:ascii="Calibri" w:hAnsi="Calibri" w:cs="Calibri"/>
        </w:rPr>
      </w:pPr>
      <w:r w:rsidRPr="00DF6AC4">
        <w:rPr>
          <w:rFonts w:ascii="Calibri" w:hAnsi="Calibri" w:cs="Calibri"/>
        </w:rPr>
        <w:t xml:space="preserve">To address these risks, the team implemented a series of proactive strategies. They conducted an environmental impact assessment to identify and mitigate potential negative effects on local ecosystems. They stayed vigilant about regulatory changes, ensuring that the project remained compliant with all relevant policies and regulations. Sarah led community outreach efforts, hosting additional workshops and informational sessions to address concerns and build trust. Coordination of sustainability initiatives was a complex task that required meticulous planning and collaboration. Sarah worked closely with government agencies, non-profits, and community groups to ensure that </w:t>
      </w:r>
      <w:r w:rsidRPr="00DF6AC4">
        <w:rPr>
          <w:rFonts w:ascii="Calibri" w:hAnsi="Calibri" w:cs="Calibri"/>
        </w:rPr>
        <w:lastRenderedPageBreak/>
        <w:t>all efforts were aligned with the project's goals. She utilized project management tools to track progress, manage resources, and coordinate efforts across different teams. Communication was key, and Sarah maintained open lines of communication with all stakeholders, fostering transparency and trust.</w:t>
      </w:r>
    </w:p>
    <w:p w14:paraId="1137CFFD" w14:textId="77777777" w:rsidR="00DF6AC4" w:rsidRPr="00DF6AC4" w:rsidRDefault="00DF6AC4" w:rsidP="00DF6AC4">
      <w:pPr>
        <w:spacing w:before="240" w:after="240" w:line="360" w:lineRule="auto"/>
        <w:jc w:val="both"/>
        <w:rPr>
          <w:rFonts w:ascii="Calibri" w:hAnsi="Calibri" w:cs="Calibri"/>
        </w:rPr>
      </w:pPr>
      <w:r w:rsidRPr="00DF6AC4">
        <w:rPr>
          <w:rFonts w:ascii="Calibri" w:hAnsi="Calibri" w:cs="Calibri"/>
        </w:rPr>
        <w:t>Compliance with sustainability-related policies and regulations was a critical aspect of the project. The team ensured that the GreenTech Solar Energy Project adhered to local, state, and federal environmental regulations. They obtained necessary permits and conducted thorough impact assessments. Additionally, they pursued renewable energy certifications, such as LEED and ISO 14001, to demonstrate their commitment to sustainability. As the project progressed, the team celebrated several milestones. Within the first three years, they successfully reduced carbon emissions by 25%. The city's reliance on renewable energy sources increased to 40%, a significant achievement that brought them closer to their goal. Community engagement efforts paid off, with over 1,000 local residents and businesses actively participating in sustainability initiatives and promoting awareness of renewable energy benefits. The GreenTech Solar Energy Project was more than just an initiative; it was a movement that united the city of Greenfield in a shared vision of a sustainable future. Through strategic planning, risk mitigation, coordination, and compliance, Sarah and her team demonstrated the power of collaboration and the importance of sustainable project management. Their journey was a testament to the impact that dedicated individuals and communities can have when they work together towards a common goal.</w:t>
      </w:r>
    </w:p>
    <w:p w14:paraId="52FC4E48" w14:textId="77777777" w:rsidR="001D3ADC" w:rsidRPr="00DF6AC4" w:rsidRDefault="001D3ADC" w:rsidP="00DF6AC4">
      <w:pPr>
        <w:spacing w:line="360" w:lineRule="auto"/>
        <w:jc w:val="both"/>
        <w:rPr>
          <w:rFonts w:ascii="Calibri" w:hAnsi="Calibri" w:cs="Calibri"/>
        </w:rPr>
      </w:pPr>
    </w:p>
    <w:sectPr w:rsidR="001D3ADC" w:rsidRPr="00DF6AC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AD52" w14:textId="77777777" w:rsidR="00DF6AC4" w:rsidRDefault="00DF6AC4" w:rsidP="00DF6AC4">
      <w:pPr>
        <w:spacing w:line="240" w:lineRule="auto"/>
      </w:pPr>
      <w:r>
        <w:separator/>
      </w:r>
    </w:p>
  </w:endnote>
  <w:endnote w:type="continuationSeparator" w:id="0">
    <w:p w14:paraId="0CE461CF" w14:textId="77777777" w:rsidR="00DF6AC4" w:rsidRDefault="00DF6AC4" w:rsidP="00DF6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F220" w14:textId="77777777" w:rsidR="00DF6AC4" w:rsidRDefault="00DF6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410025"/>
      <w:docPartObj>
        <w:docPartGallery w:val="Page Numbers (Bottom of Page)"/>
        <w:docPartUnique/>
      </w:docPartObj>
    </w:sdtPr>
    <w:sdtEndPr>
      <w:rPr>
        <w:noProof/>
      </w:rPr>
    </w:sdtEndPr>
    <w:sdtContent>
      <w:p w14:paraId="0BB9D469" w14:textId="4038E29B" w:rsidR="00DF6AC4" w:rsidRDefault="00DF6A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4DA1A" w14:textId="77777777" w:rsidR="00DF6AC4" w:rsidRDefault="00DF6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1678" w14:textId="77777777" w:rsidR="00DF6AC4" w:rsidRDefault="00DF6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0185" w14:textId="77777777" w:rsidR="00DF6AC4" w:rsidRDefault="00DF6AC4" w:rsidP="00DF6AC4">
      <w:pPr>
        <w:spacing w:line="240" w:lineRule="auto"/>
      </w:pPr>
      <w:r>
        <w:separator/>
      </w:r>
    </w:p>
  </w:footnote>
  <w:footnote w:type="continuationSeparator" w:id="0">
    <w:p w14:paraId="3167F3BE" w14:textId="77777777" w:rsidR="00DF6AC4" w:rsidRDefault="00DF6AC4" w:rsidP="00DF6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39D5" w14:textId="77777777" w:rsidR="00DF6AC4" w:rsidRDefault="00DF6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F8E6" w14:textId="77777777" w:rsidR="00DF6AC4" w:rsidRDefault="00DF6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FE70" w14:textId="77777777" w:rsidR="00DF6AC4" w:rsidRDefault="00DF6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C4"/>
    <w:rsid w:val="00194602"/>
    <w:rsid w:val="001D3ADC"/>
    <w:rsid w:val="002E4A7F"/>
    <w:rsid w:val="004B77DE"/>
    <w:rsid w:val="006A3FFB"/>
    <w:rsid w:val="007F3EF7"/>
    <w:rsid w:val="00A45CE7"/>
    <w:rsid w:val="00AF4AEA"/>
    <w:rsid w:val="00D937D0"/>
    <w:rsid w:val="00DF6A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D6ECC4D"/>
  <w15:chartTrackingRefBased/>
  <w15:docId w15:val="{98B7AE1F-63DC-4B27-997A-A9AB32F5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C4"/>
    <w:pPr>
      <w:spacing w:after="0" w:line="276" w:lineRule="auto"/>
    </w:pPr>
    <w:rPr>
      <w:rFonts w:ascii="Arial" w:eastAsia="Arial" w:hAnsi="Arial" w:cs="Arial"/>
      <w:kern w:val="0"/>
      <w:lang w:eastAsia="en-IE"/>
      <w14:ligatures w14:val="none"/>
    </w:rPr>
  </w:style>
  <w:style w:type="paragraph" w:styleId="Heading1">
    <w:name w:val="heading 1"/>
    <w:basedOn w:val="Normal"/>
    <w:next w:val="Normal"/>
    <w:link w:val="Heading1Char"/>
    <w:uiPriority w:val="9"/>
    <w:qFormat/>
    <w:rsid w:val="00DF6A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F6A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F6A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F6AC4"/>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F6AC4"/>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F6AC4"/>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F6AC4"/>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F6AC4"/>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F6AC4"/>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AC4"/>
    <w:rPr>
      <w:rFonts w:eastAsiaTheme="majorEastAsia" w:cstheme="majorBidi"/>
      <w:color w:val="272727" w:themeColor="text1" w:themeTint="D8"/>
    </w:rPr>
  </w:style>
  <w:style w:type="paragraph" w:styleId="Title">
    <w:name w:val="Title"/>
    <w:basedOn w:val="Normal"/>
    <w:next w:val="Normal"/>
    <w:link w:val="TitleChar"/>
    <w:uiPriority w:val="10"/>
    <w:qFormat/>
    <w:rsid w:val="00DF6AC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F6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A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F6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AC4"/>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F6AC4"/>
    <w:rPr>
      <w:i/>
      <w:iCs/>
      <w:color w:val="404040" w:themeColor="text1" w:themeTint="BF"/>
    </w:rPr>
  </w:style>
  <w:style w:type="paragraph" w:styleId="ListParagraph">
    <w:name w:val="List Paragraph"/>
    <w:basedOn w:val="Normal"/>
    <w:uiPriority w:val="34"/>
    <w:qFormat/>
    <w:rsid w:val="00DF6AC4"/>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F6AC4"/>
    <w:rPr>
      <w:i/>
      <w:iCs/>
      <w:color w:val="0F4761" w:themeColor="accent1" w:themeShade="BF"/>
    </w:rPr>
  </w:style>
  <w:style w:type="paragraph" w:styleId="IntenseQuote">
    <w:name w:val="Intense Quote"/>
    <w:basedOn w:val="Normal"/>
    <w:next w:val="Normal"/>
    <w:link w:val="IntenseQuoteChar"/>
    <w:uiPriority w:val="30"/>
    <w:qFormat/>
    <w:rsid w:val="00DF6A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F6AC4"/>
    <w:rPr>
      <w:i/>
      <w:iCs/>
      <w:color w:val="0F4761" w:themeColor="accent1" w:themeShade="BF"/>
    </w:rPr>
  </w:style>
  <w:style w:type="character" w:styleId="IntenseReference">
    <w:name w:val="Intense Reference"/>
    <w:basedOn w:val="DefaultParagraphFont"/>
    <w:uiPriority w:val="32"/>
    <w:qFormat/>
    <w:rsid w:val="00DF6AC4"/>
    <w:rPr>
      <w:b/>
      <w:bCs/>
      <w:smallCaps/>
      <w:color w:val="0F4761" w:themeColor="accent1" w:themeShade="BF"/>
      <w:spacing w:val="5"/>
    </w:rPr>
  </w:style>
  <w:style w:type="paragraph" w:styleId="Header">
    <w:name w:val="header"/>
    <w:basedOn w:val="Normal"/>
    <w:link w:val="HeaderChar"/>
    <w:uiPriority w:val="99"/>
    <w:unhideWhenUsed/>
    <w:rsid w:val="00DF6AC4"/>
    <w:pPr>
      <w:tabs>
        <w:tab w:val="center" w:pos="4513"/>
        <w:tab w:val="right" w:pos="9026"/>
      </w:tabs>
      <w:spacing w:line="240" w:lineRule="auto"/>
    </w:pPr>
  </w:style>
  <w:style w:type="character" w:customStyle="1" w:styleId="HeaderChar">
    <w:name w:val="Header Char"/>
    <w:basedOn w:val="DefaultParagraphFont"/>
    <w:link w:val="Header"/>
    <w:uiPriority w:val="99"/>
    <w:rsid w:val="00DF6AC4"/>
    <w:rPr>
      <w:rFonts w:ascii="Arial" w:eastAsia="Arial" w:hAnsi="Arial" w:cs="Arial"/>
      <w:kern w:val="0"/>
      <w:lang w:eastAsia="en-IE"/>
      <w14:ligatures w14:val="none"/>
    </w:rPr>
  </w:style>
  <w:style w:type="paragraph" w:styleId="Footer">
    <w:name w:val="footer"/>
    <w:basedOn w:val="Normal"/>
    <w:link w:val="FooterChar"/>
    <w:uiPriority w:val="99"/>
    <w:unhideWhenUsed/>
    <w:rsid w:val="00DF6AC4"/>
    <w:pPr>
      <w:tabs>
        <w:tab w:val="center" w:pos="4513"/>
        <w:tab w:val="right" w:pos="9026"/>
      </w:tabs>
      <w:spacing w:line="240" w:lineRule="auto"/>
    </w:pPr>
  </w:style>
  <w:style w:type="character" w:customStyle="1" w:styleId="FooterChar">
    <w:name w:val="Footer Char"/>
    <w:basedOn w:val="DefaultParagraphFont"/>
    <w:link w:val="Footer"/>
    <w:uiPriority w:val="99"/>
    <w:rsid w:val="00DF6AC4"/>
    <w:rPr>
      <w:rFonts w:ascii="Arial" w:eastAsia="Arial" w:hAnsi="Arial" w:cs="Arial"/>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2A5F4FBA18E4FAEF238F53AC8A9E9" ma:contentTypeVersion="14" ma:contentTypeDescription="Create a new document." ma:contentTypeScope="" ma:versionID="b0396f56d1edcc8624b5613273add050">
  <xsd:schema xmlns:xsd="http://www.w3.org/2001/XMLSchema" xmlns:xs="http://www.w3.org/2001/XMLSchema" xmlns:p="http://schemas.microsoft.com/office/2006/metadata/properties" xmlns:ns2="feb728bd-6e5b-4e82-95b4-181b5f0639b3" xmlns:ns3="6da97898-f981-417e-acf2-b50a87750bbf" targetNamespace="http://schemas.microsoft.com/office/2006/metadata/properties" ma:root="true" ma:fieldsID="4d11c5cf0ac7781bc8dc97fa5c99a132" ns2:_="" ns3:_="">
    <xsd:import namespace="feb728bd-6e5b-4e82-95b4-181b5f0639b3"/>
    <xsd:import namespace="6da97898-f981-417e-acf2-b50a87750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728bd-6e5b-4e82-95b4-181b5f063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ebe027-fa64-4e30-bdb2-92b74caeb8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97898-f981-417e-acf2-b50a87750b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7ab9-7143-4e51-9c83-3aea4fe9757e}" ma:internalName="TaxCatchAll" ma:showField="CatchAllData" ma:web="6da97898-f981-417e-acf2-b50a87750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a97898-f981-417e-acf2-b50a87750bbf" xsi:nil="true"/>
    <lcf76f155ced4ddcb4097134ff3c332f xmlns="feb728bd-6e5b-4e82-95b4-181b5f063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EAB1E-036E-4B7E-94CC-17396E9C0B7B}"/>
</file>

<file path=customXml/itemProps2.xml><?xml version="1.0" encoding="utf-8"?>
<ds:datastoreItem xmlns:ds="http://schemas.openxmlformats.org/officeDocument/2006/customXml" ds:itemID="{A194B5FC-06B0-491E-BED9-F924623C25C8}"/>
</file>

<file path=customXml/itemProps3.xml><?xml version="1.0" encoding="utf-8"?>
<ds:datastoreItem xmlns:ds="http://schemas.openxmlformats.org/officeDocument/2006/customXml" ds:itemID="{AD731CA0-4252-4E1A-A8FF-A72E6992455A}"/>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Onofrei</dc:creator>
  <cp:keywords/>
  <dc:description/>
  <cp:lastModifiedBy>George Onofrei</cp:lastModifiedBy>
  <cp:revision>1</cp:revision>
  <dcterms:created xsi:type="dcterms:W3CDTF">2025-05-25T14:52:00Z</dcterms:created>
  <dcterms:modified xsi:type="dcterms:W3CDTF">2025-05-25T14:53:00Z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0x010100E0D2A5F4FBA18E4FAEF238F53AC8A9E9</vt:lpwstr>
  </property>
</Properties>
</file>