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809C"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Étude de cas : Matériaux recyclés et économie circulaire</w:t>
      </w:r>
    </w:p>
    <w:p w14:paraId="09D29AF8"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23 mars 2023</w:t>
      </w:r>
      <w:r w:rsidRPr="000C666C">
        <w:rPr>
          <w:rFonts w:ascii="Calibri" w:eastAsia="Times New Roman" w:hAnsi="Calibri" w:cs="Calibri"/>
          <w:color w:val="183662"/>
          <w:sz w:val="21"/>
          <w:szCs w:val="21"/>
          <w:lang w:val="fr-FR" w:eastAsia="fr-FR"/>
        </w:rPr>
        <w:br/>
      </w:r>
      <w:r w:rsidRPr="000C666C">
        <w:rPr>
          <w:rFonts w:ascii="Calibri" w:eastAsia="Times New Roman" w:hAnsi="Calibri" w:cs="Calibri"/>
          <w:b/>
          <w:bCs/>
          <w:color w:val="183662"/>
          <w:sz w:val="21"/>
          <w:szCs w:val="21"/>
          <w:lang w:val="fr-FR" w:eastAsia="fr-FR"/>
        </w:rPr>
        <w:t>Auteur :</w:t>
      </w:r>
      <w:r w:rsidRPr="000C666C">
        <w:rPr>
          <w:rFonts w:ascii="Calibri" w:eastAsia="Times New Roman" w:hAnsi="Calibri" w:cs="Calibri"/>
          <w:color w:val="183662"/>
          <w:sz w:val="21"/>
          <w:szCs w:val="21"/>
          <w:lang w:val="fr-FR" w:eastAsia="fr-FR"/>
        </w:rPr>
        <w:t xml:space="preserve"> Dr Irene </w:t>
      </w:r>
      <w:proofErr w:type="spellStart"/>
      <w:r w:rsidRPr="000C666C">
        <w:rPr>
          <w:rFonts w:ascii="Calibri" w:eastAsia="Times New Roman" w:hAnsi="Calibri" w:cs="Calibri"/>
          <w:color w:val="183662"/>
          <w:sz w:val="21"/>
          <w:szCs w:val="21"/>
          <w:lang w:val="fr-FR" w:eastAsia="fr-FR"/>
        </w:rPr>
        <w:t>Josa</w:t>
      </w:r>
      <w:proofErr w:type="spellEnd"/>
      <w:r w:rsidRPr="000C666C">
        <w:rPr>
          <w:rFonts w:ascii="Calibri" w:eastAsia="Times New Roman" w:hAnsi="Calibri" w:cs="Calibri"/>
          <w:color w:val="183662"/>
          <w:sz w:val="21"/>
          <w:szCs w:val="21"/>
          <w:lang w:val="fr-FR" w:eastAsia="fr-FR"/>
        </w:rPr>
        <w:t xml:space="preserve"> (</w:t>
      </w:r>
      <w:proofErr w:type="spellStart"/>
      <w:r w:rsidRPr="000C666C">
        <w:rPr>
          <w:rFonts w:ascii="Calibri" w:eastAsia="Times New Roman" w:hAnsi="Calibri" w:cs="Calibri"/>
          <w:color w:val="183662"/>
          <w:sz w:val="21"/>
          <w:szCs w:val="21"/>
          <w:lang w:val="fr-FR" w:eastAsia="fr-FR"/>
        </w:rPr>
        <w:t>University</w:t>
      </w:r>
      <w:proofErr w:type="spellEnd"/>
      <w:r w:rsidRPr="000C666C">
        <w:rPr>
          <w:rFonts w:ascii="Calibri" w:eastAsia="Times New Roman" w:hAnsi="Calibri" w:cs="Calibri"/>
          <w:color w:val="183662"/>
          <w:sz w:val="21"/>
          <w:szCs w:val="21"/>
          <w:lang w:val="fr-FR" w:eastAsia="fr-FR"/>
        </w:rPr>
        <w:t xml:space="preserve"> </w:t>
      </w:r>
      <w:proofErr w:type="spellStart"/>
      <w:r w:rsidRPr="000C666C">
        <w:rPr>
          <w:rFonts w:ascii="Calibri" w:eastAsia="Times New Roman" w:hAnsi="Calibri" w:cs="Calibri"/>
          <w:color w:val="183662"/>
          <w:sz w:val="21"/>
          <w:szCs w:val="21"/>
          <w:lang w:val="fr-FR" w:eastAsia="fr-FR"/>
        </w:rPr>
        <w:t>College</w:t>
      </w:r>
      <w:proofErr w:type="spellEnd"/>
      <w:r w:rsidRPr="000C666C">
        <w:rPr>
          <w:rFonts w:ascii="Calibri" w:eastAsia="Times New Roman" w:hAnsi="Calibri" w:cs="Calibri"/>
          <w:color w:val="183662"/>
          <w:sz w:val="21"/>
          <w:szCs w:val="21"/>
          <w:lang w:val="fr-FR" w:eastAsia="fr-FR"/>
        </w:rPr>
        <w:t xml:space="preserve"> London). L’auteure souhaite remercier Colin Church (IOM3) pour les commentaires précieux qu’il a fournis lors de l’élaboration de cette étude de cas.</w:t>
      </w:r>
    </w:p>
    <w:p w14:paraId="6F8FDBB5"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Thème :</w:t>
      </w:r>
      <w:r w:rsidRPr="000C666C">
        <w:rPr>
          <w:rFonts w:ascii="Calibri" w:eastAsia="Times New Roman" w:hAnsi="Calibri" w:cs="Calibri"/>
          <w:color w:val="183662"/>
          <w:sz w:val="21"/>
          <w:szCs w:val="21"/>
          <w:lang w:val="fr-FR" w:eastAsia="fr-FR"/>
        </w:rPr>
        <w:t xml:space="preserve"> Approvisionnement en matériaux et circularité.</w:t>
      </w:r>
    </w:p>
    <w:p w14:paraId="7CEC90C2"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Disciplines d’ingénierie :</w:t>
      </w:r>
      <w:r w:rsidRPr="000C666C">
        <w:rPr>
          <w:rFonts w:ascii="Calibri" w:eastAsia="Times New Roman" w:hAnsi="Calibri" w:cs="Calibri"/>
          <w:color w:val="183662"/>
          <w:sz w:val="21"/>
          <w:szCs w:val="21"/>
          <w:lang w:val="fr-FR" w:eastAsia="fr-FR"/>
        </w:rPr>
        <w:t xml:space="preserve"> Génie des matériaux ; Fabrication ; Génie environnemental ; Construction.</w:t>
      </w:r>
    </w:p>
    <w:p w14:paraId="1A7A52CC"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Enjeux éthiques :</w:t>
      </w:r>
      <w:r w:rsidRPr="000C666C">
        <w:rPr>
          <w:rFonts w:ascii="Calibri" w:eastAsia="Times New Roman" w:hAnsi="Calibri" w:cs="Calibri"/>
          <w:color w:val="183662"/>
          <w:sz w:val="21"/>
          <w:szCs w:val="21"/>
          <w:lang w:val="fr-FR" w:eastAsia="fr-FR"/>
        </w:rPr>
        <w:t xml:space="preserve"> Respect de l’environnement ; Risque.</w:t>
      </w:r>
    </w:p>
    <w:p w14:paraId="61C71A60"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Situations professionnelles :</w:t>
      </w:r>
      <w:r w:rsidRPr="000C666C">
        <w:rPr>
          <w:rFonts w:ascii="Calibri" w:eastAsia="Times New Roman" w:hAnsi="Calibri" w:cs="Calibri"/>
          <w:color w:val="183662"/>
          <w:sz w:val="21"/>
          <w:szCs w:val="21"/>
          <w:lang w:val="fr-FR" w:eastAsia="fr-FR"/>
        </w:rPr>
        <w:t xml:space="preserve"> Conflits d’intérêts ; Santé et sécurité publiques ; Implications juridiques ; Lancer l’alerte ; Pouvoir ; Responsabilité sociale des entreprises.</w:t>
      </w:r>
    </w:p>
    <w:p w14:paraId="2E4BAC8B"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Niveau d’enseignement :</w:t>
      </w:r>
      <w:r w:rsidRPr="000C666C">
        <w:rPr>
          <w:rFonts w:ascii="Calibri" w:eastAsia="Times New Roman" w:hAnsi="Calibri" w:cs="Calibri"/>
          <w:color w:val="183662"/>
          <w:sz w:val="21"/>
          <w:szCs w:val="21"/>
          <w:lang w:val="fr-FR" w:eastAsia="fr-FR"/>
        </w:rPr>
        <w:t xml:space="preserve"> Intermédiaire.</w:t>
      </w:r>
    </w:p>
    <w:p w14:paraId="7ECCD6BA" w14:textId="62883593"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Objectif pédagogique :</w:t>
      </w:r>
      <w:r w:rsidRPr="000C666C">
        <w:rPr>
          <w:rFonts w:ascii="Calibri" w:eastAsia="Times New Roman" w:hAnsi="Calibri" w:cs="Calibri"/>
          <w:color w:val="183662"/>
          <w:sz w:val="21"/>
          <w:szCs w:val="21"/>
          <w:lang w:val="fr-FR" w:eastAsia="fr-FR"/>
        </w:rPr>
        <w:t xml:space="preserve"> Acquérir des connaissances éthiques — connaître les ensembles de règles, théories, concepts, cadres et déclarations de devoirs, de droits ou d’obligations qui informent les attitudes, comportements et pratiques éthiques.</w:t>
      </w:r>
    </w:p>
    <w:p w14:paraId="1356874C"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Notes d’apprentissage et d’enseignement :</w:t>
      </w:r>
    </w:p>
    <w:p w14:paraId="79912D79"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Cette étude de cas met en scène une ingénieure chargée de vérifier la provenance de matériaux de construction recyclés afin de s’assurer qu’ils ne sont pas contaminés. L’étude est présentée en trois parties.</w:t>
      </w:r>
      <w:r w:rsidRPr="000C666C">
        <w:rPr>
          <w:rFonts w:ascii="Calibri" w:eastAsia="Times New Roman" w:hAnsi="Calibri" w:cs="Calibri"/>
          <w:color w:val="183662"/>
          <w:sz w:val="21"/>
          <w:szCs w:val="21"/>
          <w:lang w:val="fr-FR" w:eastAsia="fr-FR"/>
        </w:rPr>
        <w:br/>
        <w:t xml:space="preserve">La première partie se concentre sur les contextes environnementaux, professionnels et sociaux et peut être utilisée seule pour permettre aux étudiants d’explorer les préoccupations </w:t>
      </w:r>
      <w:proofErr w:type="spellStart"/>
      <w:r w:rsidRPr="000C666C">
        <w:rPr>
          <w:rFonts w:ascii="Calibri" w:eastAsia="Times New Roman" w:hAnsi="Calibri" w:cs="Calibri"/>
          <w:color w:val="183662"/>
          <w:sz w:val="21"/>
          <w:szCs w:val="21"/>
          <w:lang w:val="fr-FR" w:eastAsia="fr-FR"/>
        </w:rPr>
        <w:t>microéthiques</w:t>
      </w:r>
      <w:proofErr w:type="spellEnd"/>
      <w:r w:rsidRPr="000C666C">
        <w:rPr>
          <w:rFonts w:ascii="Calibri" w:eastAsia="Times New Roman" w:hAnsi="Calibri" w:cs="Calibri"/>
          <w:color w:val="183662"/>
          <w:sz w:val="21"/>
          <w:szCs w:val="21"/>
          <w:lang w:val="fr-FR" w:eastAsia="fr-FR"/>
        </w:rPr>
        <w:t xml:space="preserve"> et </w:t>
      </w:r>
      <w:proofErr w:type="spellStart"/>
      <w:r w:rsidRPr="000C666C">
        <w:rPr>
          <w:rFonts w:ascii="Calibri" w:eastAsia="Times New Roman" w:hAnsi="Calibri" w:cs="Calibri"/>
          <w:color w:val="183662"/>
          <w:sz w:val="21"/>
          <w:szCs w:val="21"/>
          <w:lang w:val="fr-FR" w:eastAsia="fr-FR"/>
        </w:rPr>
        <w:t>macroéthiques</w:t>
      </w:r>
      <w:proofErr w:type="spellEnd"/>
      <w:r w:rsidRPr="000C666C">
        <w:rPr>
          <w:rFonts w:ascii="Calibri" w:eastAsia="Times New Roman" w:hAnsi="Calibri" w:cs="Calibri"/>
          <w:color w:val="183662"/>
          <w:sz w:val="21"/>
          <w:szCs w:val="21"/>
          <w:lang w:val="fr-FR" w:eastAsia="fr-FR"/>
        </w:rPr>
        <w:t>.</w:t>
      </w:r>
      <w:r w:rsidRPr="000C666C">
        <w:rPr>
          <w:rFonts w:ascii="Calibri" w:eastAsia="Times New Roman" w:hAnsi="Calibri" w:cs="Calibri"/>
          <w:color w:val="183662"/>
          <w:sz w:val="21"/>
          <w:szCs w:val="21"/>
          <w:lang w:val="fr-FR" w:eastAsia="fr-FR"/>
        </w:rPr>
        <w:br/>
        <w:t>Les deuxième et troisième parties introduisent un dilemme lié à l’information publique et à la communication, et permettent aux étudiants de réfléchir à leurs positions et réponses potentielles.</w:t>
      </w:r>
      <w:r w:rsidRPr="000C666C">
        <w:rPr>
          <w:rFonts w:ascii="Calibri" w:eastAsia="Times New Roman" w:hAnsi="Calibri" w:cs="Calibri"/>
          <w:color w:val="183662"/>
          <w:sz w:val="21"/>
          <w:szCs w:val="21"/>
          <w:lang w:val="fr-FR" w:eastAsia="fr-FR"/>
        </w:rPr>
        <w:br/>
        <w:t>L’étude de cas permet aux enseignants de s’arrêter à plusieurs moments pour poser des questions et/ou proposer des activités selon leurs besoins.</w:t>
      </w:r>
    </w:p>
    <w:p w14:paraId="518A6401"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Cette étude aborde deux des thèmes du </w:t>
      </w:r>
      <w:r w:rsidRPr="000C666C">
        <w:rPr>
          <w:rFonts w:ascii="Calibri" w:eastAsia="Times New Roman" w:hAnsi="Calibri" w:cs="Calibri"/>
          <w:b/>
          <w:bCs/>
          <w:color w:val="183662"/>
          <w:sz w:val="21"/>
          <w:szCs w:val="21"/>
          <w:lang w:val="fr-FR" w:eastAsia="fr-FR"/>
        </w:rPr>
        <w:t>AHEP 4</w:t>
      </w:r>
      <w:r w:rsidRPr="000C666C">
        <w:rPr>
          <w:rFonts w:ascii="Calibri" w:eastAsia="Times New Roman" w:hAnsi="Calibri" w:cs="Calibri"/>
          <w:color w:val="183662"/>
          <w:sz w:val="21"/>
          <w:szCs w:val="21"/>
          <w:lang w:val="fr-FR" w:eastAsia="fr-FR"/>
        </w:rPr>
        <w:t xml:space="preserve"> : </w:t>
      </w:r>
      <w:r w:rsidRPr="000C666C">
        <w:rPr>
          <w:rFonts w:ascii="Calibri" w:eastAsia="Times New Roman" w:hAnsi="Calibri" w:cs="Calibri"/>
          <w:b/>
          <w:bCs/>
          <w:color w:val="183662"/>
          <w:sz w:val="21"/>
          <w:szCs w:val="21"/>
          <w:lang w:val="fr-FR" w:eastAsia="fr-FR"/>
        </w:rPr>
        <w:t>L’ingénieur et la société</w:t>
      </w:r>
      <w:r w:rsidRPr="000C666C">
        <w:rPr>
          <w:rFonts w:ascii="Calibri" w:eastAsia="Times New Roman" w:hAnsi="Calibri" w:cs="Calibri"/>
          <w:color w:val="183662"/>
          <w:sz w:val="21"/>
          <w:szCs w:val="21"/>
          <w:lang w:val="fr-FR" w:eastAsia="fr-FR"/>
        </w:rPr>
        <w:t xml:space="preserve"> (en reconnaissant que l’activité d’ingénierie peut avoir un impact sociétal important) et </w:t>
      </w:r>
      <w:r w:rsidRPr="000C666C">
        <w:rPr>
          <w:rFonts w:ascii="Calibri" w:eastAsia="Times New Roman" w:hAnsi="Calibri" w:cs="Calibri"/>
          <w:b/>
          <w:bCs/>
          <w:color w:val="183662"/>
          <w:sz w:val="21"/>
          <w:szCs w:val="21"/>
          <w:lang w:val="fr-FR" w:eastAsia="fr-FR"/>
        </w:rPr>
        <w:t>La pratique de l’ingénierie</w:t>
      </w:r>
      <w:r w:rsidRPr="000C666C">
        <w:rPr>
          <w:rFonts w:ascii="Calibri" w:eastAsia="Times New Roman" w:hAnsi="Calibri" w:cs="Calibri"/>
          <w:color w:val="183662"/>
          <w:sz w:val="21"/>
          <w:szCs w:val="21"/>
          <w:lang w:val="fr-FR" w:eastAsia="fr-FR"/>
        </w:rPr>
        <w:t xml:space="preserve"> (l’application pratique des concepts, outils et compétences professionnelles).</w:t>
      </w:r>
      <w:r w:rsidRPr="000C666C">
        <w:rPr>
          <w:rFonts w:ascii="Calibri" w:eastAsia="Times New Roman" w:hAnsi="Calibri" w:cs="Calibri"/>
          <w:color w:val="183662"/>
          <w:sz w:val="21"/>
          <w:szCs w:val="21"/>
          <w:lang w:val="fr-FR" w:eastAsia="fr-FR"/>
        </w:rPr>
        <w:br/>
        <w:t xml:space="preserve">Pour associer cette étude de cas aux résultats d’apprentissage spécifiques d’un programme selon ces thèmes, consultez </w:t>
      </w:r>
      <w:r w:rsidRPr="000C666C">
        <w:rPr>
          <w:rFonts w:ascii="Calibri" w:eastAsia="Times New Roman" w:hAnsi="Calibri" w:cs="Calibri"/>
          <w:b/>
          <w:bCs/>
          <w:color w:val="183662"/>
          <w:sz w:val="21"/>
          <w:szCs w:val="21"/>
          <w:lang w:val="fr-FR" w:eastAsia="fr-FR"/>
        </w:rPr>
        <w:t>AHEP 4</w:t>
      </w:r>
      <w:r w:rsidRPr="000C666C">
        <w:rPr>
          <w:rFonts w:ascii="Calibri" w:eastAsia="Times New Roman" w:hAnsi="Calibri" w:cs="Calibri"/>
          <w:color w:val="183662"/>
          <w:sz w:val="21"/>
          <w:szCs w:val="21"/>
          <w:lang w:val="fr-FR" w:eastAsia="fr-FR"/>
        </w:rPr>
        <w:t xml:space="preserve"> (pages 30–31 et 35–37).</w:t>
      </w:r>
    </w:p>
    <w:p w14:paraId="452B6D87"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Les apprenants ont l’opportunité de :</w:t>
      </w:r>
    </w:p>
    <w:p w14:paraId="2E15B4DA" w14:textId="77777777" w:rsidR="000C666C" w:rsidRPr="000C666C" w:rsidRDefault="000C666C" w:rsidP="000C666C">
      <w:pPr>
        <w:numPr>
          <w:ilvl w:val="0"/>
          <w:numId w:val="2"/>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Identifier les règles et orientations juridiques, professionnelles et éthiques ;</w:t>
      </w:r>
    </w:p>
    <w:p w14:paraId="11C7DCC0" w14:textId="77777777" w:rsidR="000C666C" w:rsidRPr="000C666C" w:rsidRDefault="000C666C" w:rsidP="000C666C">
      <w:pPr>
        <w:numPr>
          <w:ilvl w:val="0"/>
          <w:numId w:val="2"/>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Examiner les composantes techniques et environnementales de la circularité ;</w:t>
      </w:r>
    </w:p>
    <w:p w14:paraId="3B6C6527" w14:textId="77777777" w:rsidR="000C666C" w:rsidRPr="000C666C" w:rsidRDefault="000C666C" w:rsidP="000C666C">
      <w:pPr>
        <w:numPr>
          <w:ilvl w:val="0"/>
          <w:numId w:val="2"/>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Considérer les rôles professionnels et les responsabilités associées ;</w:t>
      </w:r>
    </w:p>
    <w:p w14:paraId="487153DF" w14:textId="77777777" w:rsidR="000C666C" w:rsidRPr="000C666C" w:rsidRDefault="000C666C" w:rsidP="000C666C">
      <w:pPr>
        <w:numPr>
          <w:ilvl w:val="0"/>
          <w:numId w:val="2"/>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S’exercer à la préparation d’un entretien public.</w:t>
      </w:r>
    </w:p>
    <w:p w14:paraId="3EAB6F86"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Les enseignants ont l’opportunité de :</w:t>
      </w:r>
    </w:p>
    <w:p w14:paraId="51E23588" w14:textId="77777777" w:rsidR="000C666C" w:rsidRPr="000C666C" w:rsidRDefault="000C666C" w:rsidP="000C666C">
      <w:pPr>
        <w:numPr>
          <w:ilvl w:val="0"/>
          <w:numId w:val="3"/>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Introduire ou faire pratiquer l’Analyse du Cycle de Vie (ACV) ;</w:t>
      </w:r>
    </w:p>
    <w:p w14:paraId="6E2C71AE" w14:textId="77777777" w:rsidR="000C666C" w:rsidRPr="000C666C" w:rsidRDefault="000C666C" w:rsidP="000C666C">
      <w:pPr>
        <w:numPr>
          <w:ilvl w:val="0"/>
          <w:numId w:val="3"/>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Mettre en évidence les codes éthiques et normes de </w:t>
      </w:r>
      <w:proofErr w:type="gramStart"/>
      <w:r w:rsidRPr="000C666C">
        <w:rPr>
          <w:rFonts w:ascii="Calibri" w:eastAsia="Times New Roman" w:hAnsi="Calibri" w:cs="Calibri"/>
          <w:color w:val="183662"/>
          <w:sz w:val="21"/>
          <w:szCs w:val="21"/>
          <w:lang w:val="fr-FR" w:eastAsia="fr-FR"/>
        </w:rPr>
        <w:t>qualité pertinents</w:t>
      </w:r>
      <w:proofErr w:type="gramEnd"/>
      <w:r w:rsidRPr="000C666C">
        <w:rPr>
          <w:rFonts w:ascii="Calibri" w:eastAsia="Times New Roman" w:hAnsi="Calibri" w:cs="Calibri"/>
          <w:color w:val="183662"/>
          <w:sz w:val="21"/>
          <w:szCs w:val="21"/>
          <w:lang w:val="fr-FR" w:eastAsia="fr-FR"/>
        </w:rPr>
        <w:t xml:space="preserve"> ;</w:t>
      </w:r>
    </w:p>
    <w:p w14:paraId="3A1200CB" w14:textId="77777777" w:rsidR="000C666C" w:rsidRPr="000C666C" w:rsidRDefault="000C666C" w:rsidP="000C666C">
      <w:pPr>
        <w:numPr>
          <w:ilvl w:val="0"/>
          <w:numId w:val="3"/>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Aborder les approches des conflits professionnels et/ou interpersonnels ;</w:t>
      </w:r>
    </w:p>
    <w:p w14:paraId="4904941C" w14:textId="61D92991" w:rsidR="000C666C" w:rsidRPr="000C666C" w:rsidRDefault="000C666C" w:rsidP="000C666C">
      <w:pPr>
        <w:numPr>
          <w:ilvl w:val="0"/>
          <w:numId w:val="3"/>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Évaluer de manière informelle la pensée critique et l’analyse.</w:t>
      </w:r>
    </w:p>
    <w:p w14:paraId="4FB2E1FE"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lastRenderedPageBreak/>
        <w:t>Ressources d’apprentissage et d’enseignement :</w:t>
      </w:r>
    </w:p>
    <w:p w14:paraId="1C94B5BA"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ONG :</w:t>
      </w:r>
      <w:r w:rsidRPr="000C666C">
        <w:rPr>
          <w:rFonts w:ascii="Calibri" w:eastAsia="Times New Roman" w:hAnsi="Calibri" w:cs="Calibri"/>
          <w:color w:val="183662"/>
          <w:sz w:val="21"/>
          <w:szCs w:val="21"/>
          <w:lang w:val="fr-FR" w:eastAsia="fr-FR"/>
        </w:rPr>
        <w:br/>
      </w:r>
      <w:proofErr w:type="spellStart"/>
      <w:r w:rsidRPr="000C666C">
        <w:rPr>
          <w:rFonts w:ascii="Calibri" w:eastAsia="Times New Roman" w:hAnsi="Calibri" w:cs="Calibri"/>
          <w:i/>
          <w:iCs/>
          <w:color w:val="183662"/>
          <w:sz w:val="21"/>
          <w:szCs w:val="21"/>
          <w:lang w:val="fr-FR" w:eastAsia="fr-FR"/>
        </w:rPr>
        <w:t>Towards</w:t>
      </w:r>
      <w:proofErr w:type="spellEnd"/>
      <w:r w:rsidRPr="000C666C">
        <w:rPr>
          <w:rFonts w:ascii="Calibri" w:eastAsia="Times New Roman" w:hAnsi="Calibri" w:cs="Calibri"/>
          <w:i/>
          <w:iCs/>
          <w:color w:val="183662"/>
          <w:sz w:val="21"/>
          <w:szCs w:val="21"/>
          <w:lang w:val="fr-FR" w:eastAsia="fr-FR"/>
        </w:rPr>
        <w:t xml:space="preserve"> a </w:t>
      </w:r>
      <w:proofErr w:type="spellStart"/>
      <w:r w:rsidRPr="000C666C">
        <w:rPr>
          <w:rFonts w:ascii="Calibri" w:eastAsia="Times New Roman" w:hAnsi="Calibri" w:cs="Calibri"/>
          <w:i/>
          <w:iCs/>
          <w:color w:val="183662"/>
          <w:sz w:val="21"/>
          <w:szCs w:val="21"/>
          <w:lang w:val="fr-FR" w:eastAsia="fr-FR"/>
        </w:rPr>
        <w:t>circular</w:t>
      </w:r>
      <w:proofErr w:type="spellEnd"/>
      <w:r w:rsidRPr="000C666C">
        <w:rPr>
          <w:rFonts w:ascii="Calibri" w:eastAsia="Times New Roman" w:hAnsi="Calibri" w:cs="Calibri"/>
          <w:i/>
          <w:iCs/>
          <w:color w:val="183662"/>
          <w:sz w:val="21"/>
          <w:szCs w:val="21"/>
          <w:lang w:val="fr-FR" w:eastAsia="fr-FR"/>
        </w:rPr>
        <w:t xml:space="preserve"> </w:t>
      </w:r>
      <w:proofErr w:type="gramStart"/>
      <w:r w:rsidRPr="000C666C">
        <w:rPr>
          <w:rFonts w:ascii="Calibri" w:eastAsia="Times New Roman" w:hAnsi="Calibri" w:cs="Calibri"/>
          <w:i/>
          <w:iCs/>
          <w:color w:val="183662"/>
          <w:sz w:val="21"/>
          <w:szCs w:val="21"/>
          <w:lang w:val="fr-FR" w:eastAsia="fr-FR"/>
        </w:rPr>
        <w:t>economy:</w:t>
      </w:r>
      <w:proofErr w:type="gramEnd"/>
      <w:r w:rsidRPr="000C666C">
        <w:rPr>
          <w:rFonts w:ascii="Calibri" w:eastAsia="Times New Roman" w:hAnsi="Calibri" w:cs="Calibri"/>
          <w:i/>
          <w:iCs/>
          <w:color w:val="183662"/>
          <w:sz w:val="21"/>
          <w:szCs w:val="21"/>
          <w:lang w:val="fr-FR" w:eastAsia="fr-FR"/>
        </w:rPr>
        <w:t xml:space="preserve"> Business </w:t>
      </w:r>
      <w:proofErr w:type="spellStart"/>
      <w:r w:rsidRPr="000C666C">
        <w:rPr>
          <w:rFonts w:ascii="Calibri" w:eastAsia="Times New Roman" w:hAnsi="Calibri" w:cs="Calibri"/>
          <w:i/>
          <w:iCs/>
          <w:color w:val="183662"/>
          <w:sz w:val="21"/>
          <w:szCs w:val="21"/>
          <w:lang w:val="fr-FR" w:eastAsia="fr-FR"/>
        </w:rPr>
        <w:t>rationale</w:t>
      </w:r>
      <w:proofErr w:type="spellEnd"/>
      <w:r w:rsidRPr="000C666C">
        <w:rPr>
          <w:rFonts w:ascii="Calibri" w:eastAsia="Times New Roman" w:hAnsi="Calibri" w:cs="Calibri"/>
          <w:i/>
          <w:iCs/>
          <w:color w:val="183662"/>
          <w:sz w:val="21"/>
          <w:szCs w:val="21"/>
          <w:lang w:val="fr-FR" w:eastAsia="fr-FR"/>
        </w:rPr>
        <w:t xml:space="preserve"> for an </w:t>
      </w:r>
      <w:proofErr w:type="spellStart"/>
      <w:r w:rsidRPr="000C666C">
        <w:rPr>
          <w:rFonts w:ascii="Calibri" w:eastAsia="Times New Roman" w:hAnsi="Calibri" w:cs="Calibri"/>
          <w:i/>
          <w:iCs/>
          <w:color w:val="183662"/>
          <w:sz w:val="21"/>
          <w:szCs w:val="21"/>
          <w:lang w:val="fr-FR" w:eastAsia="fr-FR"/>
        </w:rPr>
        <w:t>accelerated</w:t>
      </w:r>
      <w:proofErr w:type="spellEnd"/>
      <w:r w:rsidRPr="000C666C">
        <w:rPr>
          <w:rFonts w:ascii="Calibri" w:eastAsia="Times New Roman" w:hAnsi="Calibri" w:cs="Calibri"/>
          <w:i/>
          <w:iCs/>
          <w:color w:val="183662"/>
          <w:sz w:val="21"/>
          <w:szCs w:val="21"/>
          <w:lang w:val="fr-FR" w:eastAsia="fr-FR"/>
        </w:rPr>
        <w:t xml:space="preserve"> transition</w:t>
      </w:r>
    </w:p>
    <w:p w14:paraId="100C5BFE"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Site gouvernemental :</w:t>
      </w:r>
      <w:r w:rsidRPr="000C666C">
        <w:rPr>
          <w:rFonts w:ascii="Calibri" w:eastAsia="Times New Roman" w:hAnsi="Calibri" w:cs="Calibri"/>
          <w:color w:val="183662"/>
          <w:sz w:val="21"/>
          <w:szCs w:val="21"/>
          <w:lang w:val="fr-FR" w:eastAsia="fr-FR"/>
        </w:rPr>
        <w:br/>
      </w:r>
      <w:proofErr w:type="gramStart"/>
      <w:r w:rsidRPr="000C666C">
        <w:rPr>
          <w:rFonts w:ascii="Calibri" w:eastAsia="Times New Roman" w:hAnsi="Calibri" w:cs="Calibri"/>
          <w:i/>
          <w:iCs/>
          <w:color w:val="183662"/>
          <w:sz w:val="21"/>
          <w:szCs w:val="21"/>
          <w:lang w:val="fr-FR" w:eastAsia="fr-FR"/>
        </w:rPr>
        <w:t>Asbestos:</w:t>
      </w:r>
      <w:proofErr w:type="gramEnd"/>
      <w:r w:rsidRPr="000C666C">
        <w:rPr>
          <w:rFonts w:ascii="Calibri" w:eastAsia="Times New Roman" w:hAnsi="Calibri" w:cs="Calibri"/>
          <w:i/>
          <w:iCs/>
          <w:color w:val="183662"/>
          <w:sz w:val="21"/>
          <w:szCs w:val="21"/>
          <w:lang w:val="fr-FR" w:eastAsia="fr-FR"/>
        </w:rPr>
        <w:t xml:space="preserve"> </w:t>
      </w:r>
      <w:proofErr w:type="spellStart"/>
      <w:r w:rsidRPr="000C666C">
        <w:rPr>
          <w:rFonts w:ascii="Calibri" w:eastAsia="Times New Roman" w:hAnsi="Calibri" w:cs="Calibri"/>
          <w:i/>
          <w:iCs/>
          <w:color w:val="183662"/>
          <w:sz w:val="21"/>
          <w:szCs w:val="21"/>
          <w:lang w:val="fr-FR" w:eastAsia="fr-FR"/>
        </w:rPr>
        <w:t>general</w:t>
      </w:r>
      <w:proofErr w:type="spellEnd"/>
      <w:r w:rsidRPr="000C666C">
        <w:rPr>
          <w:rFonts w:ascii="Calibri" w:eastAsia="Times New Roman" w:hAnsi="Calibri" w:cs="Calibri"/>
          <w:i/>
          <w:iCs/>
          <w:color w:val="183662"/>
          <w:sz w:val="21"/>
          <w:szCs w:val="21"/>
          <w:lang w:val="fr-FR" w:eastAsia="fr-FR"/>
        </w:rPr>
        <w:t xml:space="preserve"> information</w:t>
      </w:r>
      <w:r w:rsidRPr="000C666C">
        <w:rPr>
          <w:rFonts w:ascii="Calibri" w:eastAsia="Times New Roman" w:hAnsi="Calibri" w:cs="Calibri"/>
          <w:color w:val="183662"/>
          <w:sz w:val="21"/>
          <w:szCs w:val="21"/>
          <w:lang w:val="fr-FR" w:eastAsia="fr-FR"/>
        </w:rPr>
        <w:t xml:space="preserve"> (Public </w:t>
      </w:r>
      <w:proofErr w:type="spellStart"/>
      <w:r w:rsidRPr="000C666C">
        <w:rPr>
          <w:rFonts w:ascii="Calibri" w:eastAsia="Times New Roman" w:hAnsi="Calibri" w:cs="Calibri"/>
          <w:color w:val="183662"/>
          <w:sz w:val="21"/>
          <w:szCs w:val="21"/>
          <w:lang w:val="fr-FR" w:eastAsia="fr-FR"/>
        </w:rPr>
        <w:t>Health</w:t>
      </w:r>
      <w:proofErr w:type="spellEnd"/>
      <w:r w:rsidRPr="000C666C">
        <w:rPr>
          <w:rFonts w:ascii="Calibri" w:eastAsia="Times New Roman" w:hAnsi="Calibri" w:cs="Calibri"/>
          <w:color w:val="183662"/>
          <w:sz w:val="21"/>
          <w:szCs w:val="21"/>
          <w:lang w:val="fr-FR" w:eastAsia="fr-FR"/>
        </w:rPr>
        <w:t xml:space="preserve"> </w:t>
      </w:r>
      <w:proofErr w:type="spellStart"/>
      <w:r w:rsidRPr="000C666C">
        <w:rPr>
          <w:rFonts w:ascii="Calibri" w:eastAsia="Times New Roman" w:hAnsi="Calibri" w:cs="Calibri"/>
          <w:color w:val="183662"/>
          <w:sz w:val="21"/>
          <w:szCs w:val="21"/>
          <w:lang w:val="fr-FR" w:eastAsia="fr-FR"/>
        </w:rPr>
        <w:t>England</w:t>
      </w:r>
      <w:proofErr w:type="spellEnd"/>
      <w:r w:rsidRPr="000C666C">
        <w:rPr>
          <w:rFonts w:ascii="Calibri" w:eastAsia="Times New Roman" w:hAnsi="Calibri" w:cs="Calibri"/>
          <w:color w:val="183662"/>
          <w:sz w:val="21"/>
          <w:szCs w:val="21"/>
          <w:lang w:val="fr-FR" w:eastAsia="fr-FR"/>
        </w:rPr>
        <w:t>)</w:t>
      </w:r>
      <w:r w:rsidRPr="000C666C">
        <w:rPr>
          <w:rFonts w:ascii="Calibri" w:eastAsia="Times New Roman" w:hAnsi="Calibri" w:cs="Calibri"/>
          <w:color w:val="183662"/>
          <w:sz w:val="21"/>
          <w:szCs w:val="21"/>
          <w:lang w:val="fr-FR" w:eastAsia="fr-FR"/>
        </w:rPr>
        <w:br/>
      </w:r>
      <w:r w:rsidRPr="000C666C">
        <w:rPr>
          <w:rFonts w:ascii="Calibri" w:eastAsia="Times New Roman" w:hAnsi="Calibri" w:cs="Calibri"/>
          <w:i/>
          <w:iCs/>
          <w:color w:val="183662"/>
          <w:sz w:val="21"/>
          <w:szCs w:val="21"/>
          <w:lang w:val="fr-FR" w:eastAsia="fr-FR"/>
        </w:rPr>
        <w:t>Asbestos</w:t>
      </w:r>
      <w:r w:rsidRPr="000C666C">
        <w:rPr>
          <w:rFonts w:ascii="Calibri" w:eastAsia="Times New Roman" w:hAnsi="Calibri" w:cs="Calibri"/>
          <w:color w:val="183662"/>
          <w:sz w:val="21"/>
          <w:szCs w:val="21"/>
          <w:lang w:val="fr-FR" w:eastAsia="fr-FR"/>
        </w:rPr>
        <w:t xml:space="preserve"> (European </w:t>
      </w:r>
      <w:proofErr w:type="spellStart"/>
      <w:r w:rsidRPr="000C666C">
        <w:rPr>
          <w:rFonts w:ascii="Calibri" w:eastAsia="Times New Roman" w:hAnsi="Calibri" w:cs="Calibri"/>
          <w:color w:val="183662"/>
          <w:sz w:val="21"/>
          <w:szCs w:val="21"/>
          <w:lang w:val="fr-FR" w:eastAsia="fr-FR"/>
        </w:rPr>
        <w:t>Environment</w:t>
      </w:r>
      <w:proofErr w:type="spellEnd"/>
      <w:r w:rsidRPr="000C666C">
        <w:rPr>
          <w:rFonts w:ascii="Calibri" w:eastAsia="Times New Roman" w:hAnsi="Calibri" w:cs="Calibri"/>
          <w:color w:val="183662"/>
          <w:sz w:val="21"/>
          <w:szCs w:val="21"/>
          <w:lang w:val="fr-FR" w:eastAsia="fr-FR"/>
        </w:rPr>
        <w:t xml:space="preserve"> Agency)</w:t>
      </w:r>
    </w:p>
    <w:p w14:paraId="4531D453"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eastAsia="fr-FR"/>
        </w:rPr>
      </w:pPr>
      <w:proofErr w:type="gramStart"/>
      <w:r w:rsidRPr="000C666C">
        <w:rPr>
          <w:rFonts w:ascii="Calibri" w:eastAsia="Times New Roman" w:hAnsi="Calibri" w:cs="Calibri"/>
          <w:b/>
          <w:bCs/>
          <w:color w:val="183662"/>
          <w:sz w:val="21"/>
          <w:szCs w:val="21"/>
          <w:lang w:eastAsia="fr-FR"/>
        </w:rPr>
        <w:t>Entreprise :</w:t>
      </w:r>
      <w:proofErr w:type="gramEnd"/>
      <w:r w:rsidRPr="000C666C">
        <w:rPr>
          <w:rFonts w:ascii="Calibri" w:eastAsia="Times New Roman" w:hAnsi="Calibri" w:cs="Calibri"/>
          <w:color w:val="183662"/>
          <w:sz w:val="21"/>
          <w:szCs w:val="21"/>
          <w:lang w:eastAsia="fr-FR"/>
        </w:rPr>
        <w:br/>
      </w:r>
      <w:r w:rsidRPr="000C666C">
        <w:rPr>
          <w:rFonts w:ascii="Calibri" w:eastAsia="Times New Roman" w:hAnsi="Calibri" w:cs="Calibri"/>
          <w:i/>
          <w:iCs/>
          <w:color w:val="183662"/>
          <w:sz w:val="21"/>
          <w:szCs w:val="21"/>
          <w:lang w:eastAsia="fr-FR"/>
        </w:rPr>
        <w:t>Life cycle-based sustainability standards and guidelines</w:t>
      </w:r>
    </w:p>
    <w:p w14:paraId="23AB3EB5"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eastAsia="fr-FR"/>
        </w:rPr>
      </w:pPr>
      <w:r w:rsidRPr="000C666C">
        <w:rPr>
          <w:rFonts w:ascii="Calibri" w:eastAsia="Times New Roman" w:hAnsi="Calibri" w:cs="Calibri"/>
          <w:b/>
          <w:bCs/>
          <w:color w:val="183662"/>
          <w:sz w:val="21"/>
          <w:szCs w:val="21"/>
          <w:lang w:eastAsia="fr-FR"/>
        </w:rPr>
        <w:t xml:space="preserve">Articles </w:t>
      </w:r>
      <w:proofErr w:type="spellStart"/>
      <w:proofErr w:type="gramStart"/>
      <w:r w:rsidRPr="000C666C">
        <w:rPr>
          <w:rFonts w:ascii="Calibri" w:eastAsia="Times New Roman" w:hAnsi="Calibri" w:cs="Calibri"/>
          <w:b/>
          <w:bCs/>
          <w:color w:val="183662"/>
          <w:sz w:val="21"/>
          <w:szCs w:val="21"/>
          <w:lang w:eastAsia="fr-FR"/>
        </w:rPr>
        <w:t>scientifiques</w:t>
      </w:r>
      <w:proofErr w:type="spellEnd"/>
      <w:r w:rsidRPr="000C666C">
        <w:rPr>
          <w:rFonts w:ascii="Calibri" w:eastAsia="Times New Roman" w:hAnsi="Calibri" w:cs="Calibri"/>
          <w:b/>
          <w:bCs/>
          <w:color w:val="183662"/>
          <w:sz w:val="21"/>
          <w:szCs w:val="21"/>
          <w:lang w:eastAsia="fr-FR"/>
        </w:rPr>
        <w:t xml:space="preserve"> :</w:t>
      </w:r>
      <w:proofErr w:type="gramEnd"/>
      <w:r w:rsidRPr="000C666C">
        <w:rPr>
          <w:rFonts w:ascii="Calibri" w:eastAsia="Times New Roman" w:hAnsi="Calibri" w:cs="Calibri"/>
          <w:color w:val="183662"/>
          <w:sz w:val="21"/>
          <w:szCs w:val="21"/>
          <w:lang w:eastAsia="fr-FR"/>
        </w:rPr>
        <w:br/>
        <w:t xml:space="preserve">UNEP, 2020, </w:t>
      </w:r>
      <w:r w:rsidRPr="000C666C">
        <w:rPr>
          <w:rFonts w:ascii="Calibri" w:eastAsia="Times New Roman" w:hAnsi="Calibri" w:cs="Calibri"/>
          <w:i/>
          <w:iCs/>
          <w:color w:val="183662"/>
          <w:sz w:val="21"/>
          <w:szCs w:val="21"/>
          <w:lang w:eastAsia="fr-FR"/>
        </w:rPr>
        <w:t>Guidelines for Social Life Cycle Assessment of Products and Organizations 2020</w:t>
      </w:r>
    </w:p>
    <w:p w14:paraId="164EED9C" w14:textId="5A84DF8D" w:rsidR="000C666C" w:rsidRPr="000C666C" w:rsidRDefault="000C666C" w:rsidP="000C666C">
      <w:pPr>
        <w:spacing w:before="100" w:beforeAutospacing="1" w:after="100" w:afterAutospacing="1"/>
        <w:rPr>
          <w:rFonts w:ascii="Calibri" w:eastAsia="Times New Roman" w:hAnsi="Calibri" w:cs="Calibri"/>
          <w:color w:val="183662"/>
          <w:sz w:val="21"/>
          <w:szCs w:val="21"/>
          <w:lang w:eastAsia="fr-FR"/>
        </w:rPr>
      </w:pPr>
      <w:r w:rsidRPr="000C666C">
        <w:rPr>
          <w:rFonts w:ascii="Calibri" w:eastAsia="Times New Roman" w:hAnsi="Calibri" w:cs="Calibri"/>
          <w:b/>
          <w:bCs/>
          <w:color w:val="183662"/>
          <w:sz w:val="21"/>
          <w:szCs w:val="21"/>
          <w:lang w:eastAsia="fr-FR"/>
        </w:rPr>
        <w:t xml:space="preserve">Organisations </w:t>
      </w:r>
      <w:proofErr w:type="spellStart"/>
      <w:proofErr w:type="gramStart"/>
      <w:r w:rsidRPr="000C666C">
        <w:rPr>
          <w:rFonts w:ascii="Calibri" w:eastAsia="Times New Roman" w:hAnsi="Calibri" w:cs="Calibri"/>
          <w:b/>
          <w:bCs/>
          <w:color w:val="183662"/>
          <w:sz w:val="21"/>
          <w:szCs w:val="21"/>
          <w:lang w:eastAsia="fr-FR"/>
        </w:rPr>
        <w:t>professionnelles</w:t>
      </w:r>
      <w:proofErr w:type="spellEnd"/>
      <w:r w:rsidRPr="000C666C">
        <w:rPr>
          <w:rFonts w:ascii="Calibri" w:eastAsia="Times New Roman" w:hAnsi="Calibri" w:cs="Calibri"/>
          <w:b/>
          <w:bCs/>
          <w:color w:val="183662"/>
          <w:sz w:val="21"/>
          <w:szCs w:val="21"/>
          <w:lang w:eastAsia="fr-FR"/>
        </w:rPr>
        <w:t xml:space="preserve"> :</w:t>
      </w:r>
      <w:proofErr w:type="gramEnd"/>
      <w:r w:rsidRPr="000C666C">
        <w:rPr>
          <w:rFonts w:ascii="Calibri" w:eastAsia="Times New Roman" w:hAnsi="Calibri" w:cs="Calibri"/>
          <w:color w:val="183662"/>
          <w:sz w:val="21"/>
          <w:szCs w:val="21"/>
          <w:lang w:eastAsia="fr-FR"/>
        </w:rPr>
        <w:br/>
        <w:t xml:space="preserve">RAEng/Engineering Council – </w:t>
      </w:r>
      <w:r w:rsidRPr="000C666C">
        <w:rPr>
          <w:rFonts w:ascii="Calibri" w:eastAsia="Times New Roman" w:hAnsi="Calibri" w:cs="Calibri"/>
          <w:i/>
          <w:iCs/>
          <w:color w:val="183662"/>
          <w:sz w:val="21"/>
          <w:szCs w:val="21"/>
          <w:lang w:eastAsia="fr-FR"/>
        </w:rPr>
        <w:t>Statement of Ethical Principles</w:t>
      </w:r>
      <w:r w:rsidRPr="000C666C">
        <w:rPr>
          <w:rFonts w:ascii="Calibri" w:eastAsia="Times New Roman" w:hAnsi="Calibri" w:cs="Calibri"/>
          <w:color w:val="183662"/>
          <w:sz w:val="21"/>
          <w:szCs w:val="21"/>
          <w:lang w:eastAsia="fr-FR"/>
        </w:rPr>
        <w:br/>
        <w:t xml:space="preserve">Institution of Civil Engineers – </w:t>
      </w:r>
      <w:r w:rsidRPr="000C666C">
        <w:rPr>
          <w:rFonts w:ascii="Calibri" w:eastAsia="Times New Roman" w:hAnsi="Calibri" w:cs="Calibri"/>
          <w:i/>
          <w:iCs/>
          <w:color w:val="183662"/>
          <w:sz w:val="21"/>
          <w:szCs w:val="21"/>
          <w:lang w:eastAsia="fr-FR"/>
        </w:rPr>
        <w:t>ICE Code of Professional Conduct</w:t>
      </w:r>
    </w:p>
    <w:p w14:paraId="6CFE4845"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Dilemme – Partie 1 :</w:t>
      </w:r>
    </w:p>
    <w:p w14:paraId="72276DA8"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Charlie est une jeune ingénieure environnementale qui a commencé à travailler chez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xml:space="preserve"> après l’obtention de son diplôme.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xml:space="preserve"> est une entreprise de produits de construction qui se distingue par l’utilisation de matériaux recyclés issus de déchets dans ses produits, tels que les mortiers et les bétons. En fait,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xml:space="preserve"> a récemment été nominée par l’Association Nationale de la Durabilité pour le prix de la chaîne de production la plus innovante et durable.</w:t>
      </w:r>
    </w:p>
    <w:p w14:paraId="6DA6CA21"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Le rôle de Charlie est de s’assurer que les normes de qualité des déchets recyclés utilisés dans les produits soient respectées. Elle reçoit toutes les deux semaines un rapport des usines recevant les déchets et vérifie leurs propriétés.</w:t>
      </w:r>
      <w:r w:rsidRPr="000C666C">
        <w:rPr>
          <w:rFonts w:ascii="Calibri" w:eastAsia="Times New Roman" w:hAnsi="Calibri" w:cs="Calibri"/>
          <w:color w:val="183662"/>
          <w:sz w:val="21"/>
          <w:szCs w:val="21"/>
          <w:lang w:val="fr-FR" w:eastAsia="fr-FR"/>
        </w:rPr>
        <w:br/>
        <w:t>Bien qu’elle soit censée visiter toutes les usines une fois par mois, son superviseur direct, Sam, lui a conseillé de ne visiter que celles où les données montrent des problèmes de qualité.</w:t>
      </w:r>
      <w:r w:rsidRPr="000C666C">
        <w:rPr>
          <w:rFonts w:ascii="Calibri" w:eastAsia="Times New Roman" w:hAnsi="Calibri" w:cs="Calibri"/>
          <w:color w:val="183662"/>
          <w:sz w:val="21"/>
          <w:szCs w:val="21"/>
          <w:lang w:val="fr-FR" w:eastAsia="fr-FR"/>
        </w:rPr>
        <w:br/>
        <w:t>Charlie, responsable de la vérification et de la planification des visites, fait confiance à son supérieur pour la meilleure approche de son travail.</w:t>
      </w:r>
    </w:p>
    <w:p w14:paraId="0734E03F" w14:textId="0CF8C4FD"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Parmi toutes les usines partenaires, celle de </w:t>
      </w:r>
      <w:proofErr w:type="spellStart"/>
      <w:r w:rsidRPr="000C666C">
        <w:rPr>
          <w:rFonts w:ascii="Calibri" w:eastAsia="Times New Roman" w:hAnsi="Calibri" w:cs="Calibri"/>
          <w:b/>
          <w:bCs/>
          <w:color w:val="183662"/>
          <w:sz w:val="21"/>
          <w:szCs w:val="21"/>
          <w:lang w:val="fr-FR" w:eastAsia="fr-FR"/>
        </w:rPr>
        <w:t>Barretton</w:t>
      </w:r>
      <w:proofErr w:type="spellEnd"/>
      <w:r w:rsidRPr="000C666C">
        <w:rPr>
          <w:rFonts w:ascii="Calibri" w:eastAsia="Times New Roman" w:hAnsi="Calibri" w:cs="Calibri"/>
          <w:color w:val="183662"/>
          <w:sz w:val="21"/>
          <w:szCs w:val="21"/>
          <w:lang w:val="fr-FR" w:eastAsia="fr-FR"/>
        </w:rPr>
        <w:t xml:space="preserve"> a toujours affiché les plus hauts standards de qualité. Comme elle se trouve très loin du lieu de travail de Charlie, cette dernière a repoussé sa visite pendant plusieurs mois.</w:t>
      </w:r>
    </w:p>
    <w:p w14:paraId="128B8F15"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Pause facultative – Questions et activités :</w:t>
      </w:r>
    </w:p>
    <w:p w14:paraId="0EFCC2F7" w14:textId="77777777" w:rsidR="000C666C" w:rsidRPr="000C666C" w:rsidRDefault="000C666C" w:rsidP="000C666C">
      <w:pPr>
        <w:numPr>
          <w:ilvl w:val="0"/>
          <w:numId w:val="4"/>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Charlie est responsable du contrôle de la qualité à partir des données reçues, mais qu’en est-il de la qualité ou de la fiabilité de ces données ? Où commence et où s’arrête sa responsabilité ? Quelles orientations éthiques, codes ou cadres peuvent l’aider à décider ?</w:t>
      </w:r>
    </w:p>
    <w:p w14:paraId="11D04943" w14:textId="77777777" w:rsidR="000C666C" w:rsidRPr="000C666C" w:rsidRDefault="000C666C" w:rsidP="000C666C">
      <w:pPr>
        <w:numPr>
          <w:ilvl w:val="0"/>
          <w:numId w:val="4"/>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Activité :</w:t>
      </w:r>
      <w:r w:rsidRPr="000C666C">
        <w:rPr>
          <w:rFonts w:ascii="Calibri" w:eastAsia="Times New Roman" w:hAnsi="Calibri" w:cs="Calibri"/>
          <w:color w:val="183662"/>
          <w:sz w:val="21"/>
          <w:szCs w:val="21"/>
          <w:lang w:val="fr-FR" w:eastAsia="fr-FR"/>
        </w:rPr>
        <w:t xml:space="preserve"> Faites des recherches sur la question de l’amiante : connaissances scientifiques actuelles, </w:t>
      </w:r>
      <w:proofErr w:type="gramStart"/>
      <w:r w:rsidRPr="000C666C">
        <w:rPr>
          <w:rFonts w:ascii="Calibri" w:eastAsia="Times New Roman" w:hAnsi="Calibri" w:cs="Calibri"/>
          <w:color w:val="183662"/>
          <w:sz w:val="21"/>
          <w:szCs w:val="21"/>
          <w:lang w:val="fr-FR" w:eastAsia="fr-FR"/>
        </w:rPr>
        <w:t>risques potentiels</w:t>
      </w:r>
      <w:proofErr w:type="gramEnd"/>
      <w:r w:rsidRPr="000C666C">
        <w:rPr>
          <w:rFonts w:ascii="Calibri" w:eastAsia="Times New Roman" w:hAnsi="Calibri" w:cs="Calibri"/>
          <w:color w:val="183662"/>
          <w:sz w:val="21"/>
          <w:szCs w:val="21"/>
          <w:lang w:val="fr-FR" w:eastAsia="fr-FR"/>
        </w:rPr>
        <w:t xml:space="preserve"> et implications juridiques.</w:t>
      </w:r>
    </w:p>
    <w:p w14:paraId="0C751765" w14:textId="56E45081" w:rsidR="000C666C" w:rsidRPr="000C666C" w:rsidRDefault="000C666C" w:rsidP="000C666C">
      <w:pPr>
        <w:numPr>
          <w:ilvl w:val="0"/>
          <w:numId w:val="4"/>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Contexte </w:t>
      </w:r>
      <w:proofErr w:type="spellStart"/>
      <w:r w:rsidRPr="000C666C">
        <w:rPr>
          <w:rFonts w:ascii="Calibri" w:eastAsia="Times New Roman" w:hAnsi="Calibri" w:cs="Calibri"/>
          <w:color w:val="183662"/>
          <w:sz w:val="21"/>
          <w:szCs w:val="21"/>
          <w:lang w:val="fr-FR" w:eastAsia="fr-FR"/>
        </w:rPr>
        <w:t>macroéthique</w:t>
      </w:r>
      <w:proofErr w:type="spellEnd"/>
      <w:r w:rsidRPr="000C666C">
        <w:rPr>
          <w:rFonts w:ascii="Calibri" w:eastAsia="Times New Roman" w:hAnsi="Calibri" w:cs="Calibri"/>
          <w:color w:val="183662"/>
          <w:sz w:val="21"/>
          <w:szCs w:val="21"/>
          <w:lang w:val="fr-FR" w:eastAsia="fr-FR"/>
        </w:rPr>
        <w:t xml:space="preserve"> – Qu’est-ce que la circularité et quel est son lien avec les objectifs climatiques ou les pratiques environnementales ?</w:t>
      </w:r>
    </w:p>
    <w:p w14:paraId="030F2ABA"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Dilemme – Partie 2 :</w:t>
      </w:r>
    </w:p>
    <w:p w14:paraId="77E6DB69"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Après plusieurs mois, elle se rend enfin dans la ville où se trouve l’usine. Avant d’y aller, elle s’arrête dans un café et demande au serveur quels sont les impacts de l’usine sur la ville. Le serveur exprime sa </w:t>
      </w:r>
      <w:r w:rsidRPr="000C666C">
        <w:rPr>
          <w:rFonts w:ascii="Calibri" w:eastAsia="Times New Roman" w:hAnsi="Calibri" w:cs="Calibri"/>
          <w:color w:val="183662"/>
          <w:sz w:val="21"/>
          <w:szCs w:val="21"/>
          <w:lang w:val="fr-FR" w:eastAsia="fr-FR"/>
        </w:rPr>
        <w:lastRenderedPageBreak/>
        <w:t xml:space="preserve">satisfaction et explique que depuis l’installation de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la ville est devenue beaucoup plus prospère.</w:t>
      </w:r>
    </w:p>
    <w:p w14:paraId="6E7C540A"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En arrivant à l’usine, Charlie remarque un tas de déchets qu’elle suppose être utilisés comme granulats recyclés pour le béton. En y regardant de plus près, elle constate qu’il s’agit de débris provenant de la démolition d’un bâtiment : murs isolants, dalles de béton et vieux tuyaux. À ce moment-là, le responsable de l’usine arrive et fait visiter les lieux à Charlie.</w:t>
      </w:r>
    </w:p>
    <w:p w14:paraId="48CDDE71" w14:textId="38CDC539"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À la fin de la visite, Charlie pose une question sur le tas de déchets. Le responsable confirme qu’il s’agit bien de matériaux provenant d’un vieux bâtiment industriel. Charlie se souvient alors que certains bâtiments de la région contiennent encore de l’amiante, et demande si ces matériaux pourraient en contenir. À sa grande surprise, le responsable réagit violemment et met fin à la visite.</w:t>
      </w:r>
    </w:p>
    <w:p w14:paraId="1CDB702B"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Pause facultative – Questions et activités :</w:t>
      </w:r>
    </w:p>
    <w:p w14:paraId="296AD04E" w14:textId="77777777" w:rsidR="000C666C" w:rsidRPr="000C666C" w:rsidRDefault="000C666C" w:rsidP="000C666C">
      <w:pPr>
        <w:numPr>
          <w:ilvl w:val="0"/>
          <w:numId w:val="5"/>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Activité :</w:t>
      </w:r>
      <w:r w:rsidRPr="000C666C">
        <w:rPr>
          <w:rFonts w:ascii="Calibri" w:eastAsia="Times New Roman" w:hAnsi="Calibri" w:cs="Calibri"/>
          <w:color w:val="183662"/>
          <w:sz w:val="21"/>
          <w:szCs w:val="21"/>
          <w:lang w:val="fr-FR" w:eastAsia="fr-FR"/>
        </w:rPr>
        <w:t xml:space="preserve"> Utilisez un outil d’Analyse du Cycle de Vie environnemental et social pour évaluer les impacts que les décisions de Charlie pourraient avoir.</w:t>
      </w:r>
    </w:p>
    <w:p w14:paraId="01C5FA09" w14:textId="77777777" w:rsidR="000C666C" w:rsidRPr="000C666C" w:rsidRDefault="000C666C" w:rsidP="000C666C">
      <w:pPr>
        <w:numPr>
          <w:ilvl w:val="0"/>
          <w:numId w:val="5"/>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Identifiez les différentes options que Charlie pourrait envisager après la réaction du responsable. Quelle serait la meilleure approche, et pourquoi ?</w:t>
      </w:r>
    </w:p>
    <w:p w14:paraId="1845E01E" w14:textId="08846037" w:rsidR="000C666C" w:rsidRPr="000C666C" w:rsidRDefault="000C666C" w:rsidP="000C666C">
      <w:pPr>
        <w:numPr>
          <w:ilvl w:val="0"/>
          <w:numId w:val="5"/>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Si elle rapporte ses soupçons à son supérieur, quelles preuves peut-elle fournir ? Devrait-elle en parler à ce stade ?</w:t>
      </w:r>
    </w:p>
    <w:p w14:paraId="4BB3967F"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Dilemme – Partie 3 :</w:t>
      </w:r>
    </w:p>
    <w:p w14:paraId="43A1576F"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Finalement, Charlie décide de ne rien dire et, après avoir rédigé son rapport, elle quitte </w:t>
      </w:r>
      <w:proofErr w:type="spellStart"/>
      <w:r w:rsidRPr="000C666C">
        <w:rPr>
          <w:rFonts w:ascii="Calibri" w:eastAsia="Times New Roman" w:hAnsi="Calibri" w:cs="Calibri"/>
          <w:color w:val="183662"/>
          <w:sz w:val="21"/>
          <w:szCs w:val="21"/>
          <w:lang w:val="fr-FR" w:eastAsia="fr-FR"/>
        </w:rPr>
        <w:t>Barretton</w:t>
      </w:r>
      <w:proofErr w:type="spellEnd"/>
      <w:r w:rsidRPr="000C666C">
        <w:rPr>
          <w:rFonts w:ascii="Calibri" w:eastAsia="Times New Roman" w:hAnsi="Calibri" w:cs="Calibri"/>
          <w:color w:val="183662"/>
          <w:sz w:val="21"/>
          <w:szCs w:val="21"/>
          <w:lang w:val="fr-FR" w:eastAsia="fr-FR"/>
        </w:rPr>
        <w:t xml:space="preserve">. Quelques jours plus tard,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xml:space="preserve"> est annoncée gagnante du prix de l’Association Nationale de la Durabilité. L’entreprise organise un événement de célébration à </w:t>
      </w:r>
      <w:proofErr w:type="spellStart"/>
      <w:r w:rsidRPr="000C666C">
        <w:rPr>
          <w:rFonts w:ascii="Calibri" w:eastAsia="Times New Roman" w:hAnsi="Calibri" w:cs="Calibri"/>
          <w:color w:val="183662"/>
          <w:sz w:val="21"/>
          <w:szCs w:val="21"/>
          <w:lang w:val="fr-FR" w:eastAsia="fr-FR"/>
        </w:rPr>
        <w:t>Barretton</w:t>
      </w:r>
      <w:proofErr w:type="spellEnd"/>
      <w:r w:rsidRPr="000C666C">
        <w:rPr>
          <w:rFonts w:ascii="Calibri" w:eastAsia="Times New Roman" w:hAnsi="Calibri" w:cs="Calibri"/>
          <w:color w:val="183662"/>
          <w:sz w:val="21"/>
          <w:szCs w:val="21"/>
          <w:lang w:val="fr-FR" w:eastAsia="fr-FR"/>
        </w:rPr>
        <w:t xml:space="preserve">. Lors de cet événement, Charlie découvre que le PDG de </w:t>
      </w:r>
      <w:r w:rsidRPr="000C666C">
        <w:rPr>
          <w:rFonts w:ascii="Calibri" w:eastAsia="Times New Roman" w:hAnsi="Calibri" w:cs="Calibri"/>
          <w:i/>
          <w:iCs/>
          <w:color w:val="183662"/>
          <w:sz w:val="21"/>
          <w:szCs w:val="21"/>
          <w:lang w:val="fr-FR" w:eastAsia="fr-FR"/>
        </w:rPr>
        <w:t>Circle Mat</w:t>
      </w:r>
      <w:r w:rsidRPr="000C666C">
        <w:rPr>
          <w:rFonts w:ascii="Calibri" w:eastAsia="Times New Roman" w:hAnsi="Calibri" w:cs="Calibri"/>
          <w:color w:val="183662"/>
          <w:sz w:val="21"/>
          <w:szCs w:val="21"/>
          <w:lang w:val="fr-FR" w:eastAsia="fr-FR"/>
        </w:rPr>
        <w:t xml:space="preserve"> est un parent du maire de la ville.</w:t>
      </w:r>
    </w:p>
    <w:p w14:paraId="1FA41A3D"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Elle ne sait pas s’il y a réellement de l’amiante dans les déchets, ni si d’autres usines se comportent de la même manière. D’autres jeunes ingénieurs étant responsables des autres sites, elle n’a pas accès à ces informations.</w:t>
      </w:r>
    </w:p>
    <w:p w14:paraId="1661B45F" w14:textId="17273480"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Quelques jours après l’événement, elle reçoit un appel d’un journaliste affirmant avoir découvert que l’entreprise utilise des déchets provenant de bâtiments contenant de l’amiante. Le journaliste prépare un article pour révéler cette information et souhaite l’interviewer. Il garantit que son identité restera anonyme si elle le souhaite, mais précise que si elle refuse, il recueillera des informations auprès d’autres sources internes.</w:t>
      </w:r>
    </w:p>
    <w:p w14:paraId="3D5157BC" w14:textId="77777777" w:rsidR="000C666C" w:rsidRPr="000C666C" w:rsidRDefault="000C666C" w:rsidP="000C666C">
      <w:pPr>
        <w:spacing w:before="100" w:beforeAutospacing="1" w:after="100" w:afterAutospacing="1"/>
        <w:outlineLvl w:val="2"/>
        <w:rPr>
          <w:rFonts w:ascii="Calibri" w:eastAsia="Times New Roman" w:hAnsi="Calibri" w:cs="Calibri"/>
          <w:b/>
          <w:bCs/>
          <w:color w:val="183662"/>
          <w:sz w:val="21"/>
          <w:szCs w:val="21"/>
          <w:lang w:val="fr-FR" w:eastAsia="fr-FR"/>
        </w:rPr>
      </w:pPr>
      <w:r w:rsidRPr="000C666C">
        <w:rPr>
          <w:rFonts w:ascii="Calibri" w:eastAsia="Times New Roman" w:hAnsi="Calibri" w:cs="Calibri"/>
          <w:b/>
          <w:bCs/>
          <w:color w:val="183662"/>
          <w:sz w:val="21"/>
          <w:szCs w:val="21"/>
          <w:lang w:val="fr-FR" w:eastAsia="fr-FR"/>
        </w:rPr>
        <w:t>Pause facultative – Questions et activités :</w:t>
      </w:r>
    </w:p>
    <w:p w14:paraId="749F9C1D" w14:textId="77777777" w:rsidR="000C666C" w:rsidRPr="000C666C" w:rsidRDefault="000C666C" w:rsidP="000C666C">
      <w:pPr>
        <w:numPr>
          <w:ilvl w:val="0"/>
          <w:numId w:val="6"/>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Activité :</w:t>
      </w:r>
      <w:r w:rsidRPr="000C666C">
        <w:rPr>
          <w:rFonts w:ascii="Calibri" w:eastAsia="Times New Roman" w:hAnsi="Calibri" w:cs="Calibri"/>
          <w:color w:val="183662"/>
          <w:sz w:val="21"/>
          <w:szCs w:val="21"/>
          <w:lang w:val="fr-FR" w:eastAsia="fr-FR"/>
        </w:rPr>
        <w:t xml:space="preserve"> Intégration technique – mesurer les contaminants présents dans les déchets utilisés pour les matériaux de construction.</w:t>
      </w:r>
    </w:p>
    <w:p w14:paraId="2A34F60E" w14:textId="77777777" w:rsidR="000C666C" w:rsidRPr="000C666C" w:rsidRDefault="000C666C" w:rsidP="000C666C">
      <w:pPr>
        <w:numPr>
          <w:ilvl w:val="0"/>
          <w:numId w:val="6"/>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Quels enjeux éthiques peuvent être identifiés dans ce scénario ? Comment les principes éthiques du secteur de la construction éclairent-ils les problèmes présents et les solutions possibles ?</w:t>
      </w:r>
    </w:p>
    <w:p w14:paraId="4CD031C1" w14:textId="77777777" w:rsidR="000C666C" w:rsidRPr="000C666C" w:rsidRDefault="000C666C" w:rsidP="000C666C">
      <w:pPr>
        <w:numPr>
          <w:ilvl w:val="0"/>
          <w:numId w:val="6"/>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Quelles dynamiques interpersonnelles et professionnelles pourraient influencer la résolution de cette situation ?</w:t>
      </w:r>
    </w:p>
    <w:p w14:paraId="6A119B91" w14:textId="77777777" w:rsidR="000C666C" w:rsidRPr="000C666C" w:rsidRDefault="000C666C" w:rsidP="000C666C">
      <w:pPr>
        <w:numPr>
          <w:ilvl w:val="0"/>
          <w:numId w:val="6"/>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Discussion :</w:t>
      </w:r>
      <w:r w:rsidRPr="000C666C">
        <w:rPr>
          <w:rFonts w:ascii="Calibri" w:eastAsia="Times New Roman" w:hAnsi="Calibri" w:cs="Calibri"/>
          <w:color w:val="183662"/>
          <w:sz w:val="21"/>
          <w:szCs w:val="21"/>
          <w:lang w:val="fr-FR" w:eastAsia="fr-FR"/>
        </w:rPr>
        <w:t xml:space="preserve"> Accepteriez-vous l’entretien avec le journaliste ? Charlie le devrait-elle ? Pourquoi ou pourquoi pas ?</w:t>
      </w:r>
    </w:p>
    <w:p w14:paraId="08CCA3E2" w14:textId="3754C8B5" w:rsidR="000C666C" w:rsidRPr="000C666C" w:rsidRDefault="000C666C" w:rsidP="000C666C">
      <w:pPr>
        <w:numPr>
          <w:ilvl w:val="0"/>
          <w:numId w:val="6"/>
        </w:num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b/>
          <w:bCs/>
          <w:color w:val="183662"/>
          <w:sz w:val="21"/>
          <w:szCs w:val="21"/>
          <w:lang w:val="fr-FR" w:eastAsia="fr-FR"/>
        </w:rPr>
        <w:t>Activité :</w:t>
      </w:r>
      <w:r w:rsidRPr="000C666C">
        <w:rPr>
          <w:rFonts w:ascii="Calibri" w:eastAsia="Times New Roman" w:hAnsi="Calibri" w:cs="Calibri"/>
          <w:color w:val="183662"/>
          <w:sz w:val="21"/>
          <w:szCs w:val="21"/>
          <w:lang w:val="fr-FR" w:eastAsia="fr-FR"/>
        </w:rPr>
        <w:t xml:space="preserve"> En cas de décision de participer à l’entretien, préparez les notes que vous emporteriez avec vous.</w:t>
      </w:r>
    </w:p>
    <w:p w14:paraId="2DB7C1AF"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lastRenderedPageBreak/>
        <w:t xml:space="preserve">Ce travail est sous licence </w:t>
      </w:r>
      <w:r w:rsidRPr="000C666C">
        <w:rPr>
          <w:rFonts w:ascii="Calibri" w:eastAsia="Times New Roman" w:hAnsi="Calibri" w:cs="Calibri"/>
          <w:b/>
          <w:bCs/>
          <w:color w:val="183662"/>
          <w:sz w:val="21"/>
          <w:szCs w:val="21"/>
          <w:lang w:val="fr-FR" w:eastAsia="fr-FR"/>
        </w:rPr>
        <w:t>Creative Commons Attribution-</w:t>
      </w:r>
      <w:proofErr w:type="spellStart"/>
      <w:r w:rsidRPr="000C666C">
        <w:rPr>
          <w:rFonts w:ascii="Calibri" w:eastAsia="Times New Roman" w:hAnsi="Calibri" w:cs="Calibri"/>
          <w:b/>
          <w:bCs/>
          <w:color w:val="183662"/>
          <w:sz w:val="21"/>
          <w:szCs w:val="21"/>
          <w:lang w:val="fr-FR" w:eastAsia="fr-FR"/>
        </w:rPr>
        <w:t>ShareAlike</w:t>
      </w:r>
      <w:proofErr w:type="spellEnd"/>
      <w:r w:rsidRPr="000C666C">
        <w:rPr>
          <w:rFonts w:ascii="Calibri" w:eastAsia="Times New Roman" w:hAnsi="Calibri" w:cs="Calibri"/>
          <w:b/>
          <w:bCs/>
          <w:color w:val="183662"/>
          <w:sz w:val="21"/>
          <w:szCs w:val="21"/>
          <w:lang w:val="fr-FR" w:eastAsia="fr-FR"/>
        </w:rPr>
        <w:t xml:space="preserve"> 4.0 International</w:t>
      </w:r>
      <w:r w:rsidRPr="000C666C">
        <w:rPr>
          <w:rFonts w:ascii="Calibri" w:eastAsia="Times New Roman" w:hAnsi="Calibri" w:cs="Calibri"/>
          <w:color w:val="183662"/>
          <w:sz w:val="21"/>
          <w:szCs w:val="21"/>
          <w:lang w:val="fr-FR" w:eastAsia="fr-FR"/>
        </w:rPr>
        <w:t>.</w:t>
      </w:r>
    </w:p>
    <w:p w14:paraId="7D8E3355" w14:textId="77777777" w:rsidR="000C666C" w:rsidRPr="000C666C" w:rsidRDefault="000C666C" w:rsidP="000C666C">
      <w:pPr>
        <w:spacing w:before="100" w:beforeAutospacing="1" w:after="100" w:afterAutospacing="1"/>
        <w:rPr>
          <w:rFonts w:ascii="Calibri" w:eastAsia="Times New Roman" w:hAnsi="Calibri" w:cs="Calibri"/>
          <w:color w:val="183662"/>
          <w:sz w:val="21"/>
          <w:szCs w:val="21"/>
          <w:lang w:val="fr-FR" w:eastAsia="fr-FR"/>
        </w:rPr>
      </w:pPr>
      <w:r w:rsidRPr="000C666C">
        <w:rPr>
          <w:rFonts w:ascii="Calibri" w:eastAsia="Times New Roman" w:hAnsi="Calibri" w:cs="Calibri"/>
          <w:color w:val="183662"/>
          <w:sz w:val="21"/>
          <w:szCs w:val="21"/>
          <w:lang w:val="fr-FR" w:eastAsia="fr-FR"/>
        </w:rPr>
        <w:t xml:space="preserve">Toute opinion, pensée ou analyse exprimée ici appartient uniquement à l’auteur et ne reflète pas nécessairement les points de vue, opinions, politiques ou positions du </w:t>
      </w:r>
      <w:r w:rsidRPr="000C666C">
        <w:rPr>
          <w:rFonts w:ascii="Calibri" w:eastAsia="Times New Roman" w:hAnsi="Calibri" w:cs="Calibri"/>
          <w:b/>
          <w:bCs/>
          <w:color w:val="183662"/>
          <w:sz w:val="21"/>
          <w:szCs w:val="21"/>
          <w:lang w:val="fr-FR" w:eastAsia="fr-FR"/>
        </w:rPr>
        <w:t xml:space="preserve">Engineering </w:t>
      </w:r>
      <w:proofErr w:type="spellStart"/>
      <w:r w:rsidRPr="000C666C">
        <w:rPr>
          <w:rFonts w:ascii="Calibri" w:eastAsia="Times New Roman" w:hAnsi="Calibri" w:cs="Calibri"/>
          <w:b/>
          <w:bCs/>
          <w:color w:val="183662"/>
          <w:sz w:val="21"/>
          <w:szCs w:val="21"/>
          <w:lang w:val="fr-FR" w:eastAsia="fr-FR"/>
        </w:rPr>
        <w:t>Professors</w:t>
      </w:r>
      <w:proofErr w:type="spellEnd"/>
      <w:r w:rsidRPr="000C666C">
        <w:rPr>
          <w:rFonts w:ascii="Calibri" w:eastAsia="Times New Roman" w:hAnsi="Calibri" w:cs="Calibri"/>
          <w:b/>
          <w:bCs/>
          <w:color w:val="183662"/>
          <w:sz w:val="21"/>
          <w:szCs w:val="21"/>
          <w:lang w:val="fr-FR" w:eastAsia="fr-FR"/>
        </w:rPr>
        <w:t>’ Council</w:t>
      </w:r>
      <w:r w:rsidRPr="000C666C">
        <w:rPr>
          <w:rFonts w:ascii="Calibri" w:eastAsia="Times New Roman" w:hAnsi="Calibri" w:cs="Calibri"/>
          <w:color w:val="183662"/>
          <w:sz w:val="21"/>
          <w:szCs w:val="21"/>
          <w:lang w:val="fr-FR" w:eastAsia="fr-FR"/>
        </w:rPr>
        <w:t xml:space="preserve"> ni des sponsors ou partenaires du </w:t>
      </w:r>
      <w:r w:rsidRPr="000C666C">
        <w:rPr>
          <w:rFonts w:ascii="Calibri" w:eastAsia="Times New Roman" w:hAnsi="Calibri" w:cs="Calibri"/>
          <w:b/>
          <w:bCs/>
          <w:color w:val="183662"/>
          <w:sz w:val="21"/>
          <w:szCs w:val="21"/>
          <w:lang w:val="fr-FR" w:eastAsia="fr-FR"/>
        </w:rPr>
        <w:t>Toolkit</w:t>
      </w:r>
      <w:r w:rsidRPr="000C666C">
        <w:rPr>
          <w:rFonts w:ascii="Calibri" w:eastAsia="Times New Roman" w:hAnsi="Calibri" w:cs="Calibri"/>
          <w:color w:val="183662"/>
          <w:sz w:val="21"/>
          <w:szCs w:val="21"/>
          <w:lang w:val="fr-FR" w:eastAsia="fr-FR"/>
        </w:rPr>
        <w:t>.</w:t>
      </w:r>
    </w:p>
    <w:p w14:paraId="40870DBC" w14:textId="77777777" w:rsidR="00FF6C6D" w:rsidRPr="000C666C" w:rsidRDefault="00FF6C6D">
      <w:pPr>
        <w:rPr>
          <w:rFonts w:ascii="Calibri" w:hAnsi="Calibri" w:cs="Calibri"/>
          <w:color w:val="183662"/>
          <w:sz w:val="21"/>
          <w:szCs w:val="21"/>
          <w:lang w:val="fr-FR"/>
        </w:rPr>
      </w:pPr>
    </w:p>
    <w:sectPr w:rsidR="00FF6C6D" w:rsidRPr="000C6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70B"/>
    <w:multiLevelType w:val="multilevel"/>
    <w:tmpl w:val="6204B022"/>
    <w:styleLink w:val="BulletPoint"/>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0DA2A4C"/>
    <w:multiLevelType w:val="multilevel"/>
    <w:tmpl w:val="B6CE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400C3"/>
    <w:multiLevelType w:val="multilevel"/>
    <w:tmpl w:val="CA96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A590A"/>
    <w:multiLevelType w:val="multilevel"/>
    <w:tmpl w:val="1776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C20ABF"/>
    <w:multiLevelType w:val="multilevel"/>
    <w:tmpl w:val="DEEE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361EEB"/>
    <w:multiLevelType w:val="multilevel"/>
    <w:tmpl w:val="851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810181">
    <w:abstractNumId w:val="0"/>
  </w:num>
  <w:num w:numId="2" w16cid:durableId="1857884720">
    <w:abstractNumId w:val="1"/>
  </w:num>
  <w:num w:numId="3" w16cid:durableId="1878542606">
    <w:abstractNumId w:val="5"/>
  </w:num>
  <w:num w:numId="4" w16cid:durableId="1836651759">
    <w:abstractNumId w:val="3"/>
  </w:num>
  <w:num w:numId="5" w16cid:durableId="1539513725">
    <w:abstractNumId w:val="2"/>
  </w:num>
  <w:num w:numId="6" w16cid:durableId="1101216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6C"/>
    <w:rsid w:val="000C666C"/>
    <w:rsid w:val="00981AEE"/>
    <w:rsid w:val="00BF7287"/>
    <w:rsid w:val="00DD5465"/>
    <w:rsid w:val="00FF6C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B632"/>
  <w15:chartTrackingRefBased/>
  <w15:docId w15:val="{CAA008AC-3180-CF47-8BFB-0FAE1EE9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0C6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C6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C66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C66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C66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C66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66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66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666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BulletPoint">
    <w:name w:val="Bullet Point"/>
    <w:basedOn w:val="Aucuneliste"/>
    <w:uiPriority w:val="99"/>
    <w:rsid w:val="00DD5465"/>
    <w:pPr>
      <w:numPr>
        <w:numId w:val="1"/>
      </w:numPr>
    </w:pPr>
  </w:style>
  <w:style w:type="character" w:customStyle="1" w:styleId="Titre1Car">
    <w:name w:val="Titre 1 Car"/>
    <w:basedOn w:val="Policepardfaut"/>
    <w:link w:val="Titre1"/>
    <w:uiPriority w:val="9"/>
    <w:rsid w:val="000C666C"/>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0C666C"/>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rsid w:val="000C666C"/>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0C666C"/>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0C666C"/>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0C666C"/>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0C666C"/>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0C666C"/>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0C666C"/>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0C66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666C"/>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0C666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666C"/>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0C666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C666C"/>
    <w:rPr>
      <w:i/>
      <w:iCs/>
      <w:color w:val="404040" w:themeColor="text1" w:themeTint="BF"/>
      <w:lang w:val="en-GB"/>
    </w:rPr>
  </w:style>
  <w:style w:type="paragraph" w:styleId="Paragraphedeliste">
    <w:name w:val="List Paragraph"/>
    <w:basedOn w:val="Normal"/>
    <w:uiPriority w:val="34"/>
    <w:qFormat/>
    <w:rsid w:val="000C666C"/>
    <w:pPr>
      <w:ind w:left="720"/>
      <w:contextualSpacing/>
    </w:pPr>
  </w:style>
  <w:style w:type="character" w:styleId="Accentuationintense">
    <w:name w:val="Intense Emphasis"/>
    <w:basedOn w:val="Policepardfaut"/>
    <w:uiPriority w:val="21"/>
    <w:qFormat/>
    <w:rsid w:val="000C666C"/>
    <w:rPr>
      <w:i/>
      <w:iCs/>
      <w:color w:val="0F4761" w:themeColor="accent1" w:themeShade="BF"/>
    </w:rPr>
  </w:style>
  <w:style w:type="paragraph" w:styleId="Citationintense">
    <w:name w:val="Intense Quote"/>
    <w:basedOn w:val="Normal"/>
    <w:next w:val="Normal"/>
    <w:link w:val="CitationintenseCar"/>
    <w:uiPriority w:val="30"/>
    <w:qFormat/>
    <w:rsid w:val="000C6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C666C"/>
    <w:rPr>
      <w:i/>
      <w:iCs/>
      <w:color w:val="0F4761" w:themeColor="accent1" w:themeShade="BF"/>
      <w:lang w:val="en-GB"/>
    </w:rPr>
  </w:style>
  <w:style w:type="character" w:styleId="Rfrenceintense">
    <w:name w:val="Intense Reference"/>
    <w:basedOn w:val="Policepardfaut"/>
    <w:uiPriority w:val="32"/>
    <w:qFormat/>
    <w:rsid w:val="000C666C"/>
    <w:rPr>
      <w:b/>
      <w:bCs/>
      <w:smallCaps/>
      <w:color w:val="0F4761" w:themeColor="accent1" w:themeShade="BF"/>
      <w:spacing w:val="5"/>
    </w:rPr>
  </w:style>
  <w:style w:type="character" w:styleId="lev">
    <w:name w:val="Strong"/>
    <w:basedOn w:val="Policepardfaut"/>
    <w:uiPriority w:val="22"/>
    <w:qFormat/>
    <w:rsid w:val="000C666C"/>
    <w:rPr>
      <w:b/>
      <w:bCs/>
    </w:rPr>
  </w:style>
  <w:style w:type="paragraph" w:styleId="NormalWeb">
    <w:name w:val="Normal (Web)"/>
    <w:basedOn w:val="Normal"/>
    <w:uiPriority w:val="99"/>
    <w:semiHidden/>
    <w:unhideWhenUsed/>
    <w:rsid w:val="000C666C"/>
    <w:pPr>
      <w:spacing w:before="100" w:beforeAutospacing="1" w:after="100" w:afterAutospacing="1"/>
    </w:pPr>
    <w:rPr>
      <w:rFonts w:ascii="Times New Roman" w:eastAsia="Times New Roman" w:hAnsi="Times New Roman" w:cs="Times New Roman"/>
      <w:lang w:val="fr-FR" w:eastAsia="fr-FR"/>
    </w:rPr>
  </w:style>
  <w:style w:type="character" w:styleId="Accentuation">
    <w:name w:val="Emphasis"/>
    <w:basedOn w:val="Policepardfaut"/>
    <w:uiPriority w:val="20"/>
    <w:qFormat/>
    <w:rsid w:val="000C6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998BB-3A27-43D6-916A-64C193005953}"/>
</file>

<file path=customXml/itemProps2.xml><?xml version="1.0" encoding="utf-8"?>
<ds:datastoreItem xmlns:ds="http://schemas.openxmlformats.org/officeDocument/2006/customXml" ds:itemID="{9652113A-01C5-469F-9574-D2CCA64924B2}"/>
</file>

<file path=customXml/itemProps3.xml><?xml version="1.0" encoding="utf-8"?>
<ds:datastoreItem xmlns:ds="http://schemas.openxmlformats.org/officeDocument/2006/customXml" ds:itemID="{DC155B93-B8E2-48B2-A94C-F061B05CCD83}"/>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7753</Characters>
  <Application>Microsoft Office Word</Application>
  <DocSecurity>0</DocSecurity>
  <Lines>198</Lines>
  <Paragraphs>92</Paragraphs>
  <ScaleCrop>false</ScaleCrop>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Spada</dc:creator>
  <cp:keywords/>
  <dc:description/>
  <cp:lastModifiedBy>Dominic Spada</cp:lastModifiedBy>
  <cp:revision>1</cp:revision>
  <dcterms:created xsi:type="dcterms:W3CDTF">2025-10-08T11:23:00Z</dcterms:created>
  <dcterms:modified xsi:type="dcterms:W3CDTF">2025-10-08T11:24:00Z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0x010100E0D2A5F4FBA18E4FAEF238F53AC8A9E9</vt:lpwstr>
  </property>
</Properties>
</file>