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6468" w14:textId="77777777" w:rsidR="00402559" w:rsidRPr="00AE3CFA" w:rsidRDefault="00402559" w:rsidP="006A15C3">
      <w:pPr>
        <w:pStyle w:val="NormalWeb"/>
        <w:jc w:val="both"/>
        <w:rPr>
          <w:rFonts w:ascii="Calibri" w:hAnsi="Calibri" w:cs="Calibri"/>
          <w:sz w:val="22"/>
          <w:szCs w:val="22"/>
        </w:rPr>
      </w:pPr>
      <w:r w:rsidRPr="00AE3CFA">
        <w:rPr>
          <w:rFonts w:ascii="Calibri" w:hAnsi="Calibri" w:cs="Calibri"/>
          <w:b/>
          <w:bCs/>
          <w:sz w:val="22"/>
          <w:szCs w:val="22"/>
        </w:rPr>
        <w:t>La gestion de projet durable</w:t>
      </w:r>
      <w:r w:rsidRPr="00AE3CFA">
        <w:rPr>
          <w:rFonts w:ascii="Calibri" w:hAnsi="Calibri" w:cs="Calibri"/>
          <w:sz w:val="22"/>
          <w:szCs w:val="22"/>
        </w:rPr>
        <w:t xml:space="preserve"> est la pratique consistant à gérer des projets en mettant l’accent sur les principes de durabilité. Cela implique l’intégration des considérations environnementales, sociales et économiques dans la planification, l’exécution et l’évaluation des projets. L’objectif est de garantir que les projets contribuent positivement au développement durable tout en minimisant les impacts négatifs.</w:t>
      </w:r>
    </w:p>
    <w:p w14:paraId="3C05CAD0" w14:textId="77777777" w:rsidR="00402559" w:rsidRPr="00AE3CFA" w:rsidRDefault="00402559" w:rsidP="006A15C3">
      <w:pPr>
        <w:spacing w:before="240" w:after="240" w:line="276" w:lineRule="auto"/>
        <w:jc w:val="both"/>
        <w:rPr>
          <w:rFonts w:ascii="Calibri" w:eastAsia="Arial" w:hAnsi="Calibri" w:cs="Calibri"/>
          <w:i/>
          <w:iCs/>
          <w:sz w:val="22"/>
          <w:szCs w:val="22"/>
          <w:u w:val="single"/>
          <w:lang w:val="fr-FR" w:eastAsia="en-IE"/>
        </w:rPr>
      </w:pPr>
      <w:r w:rsidRPr="00AE3CFA">
        <w:rPr>
          <w:rFonts w:ascii="Calibri" w:eastAsia="Arial" w:hAnsi="Calibri" w:cs="Calibri"/>
          <w:i/>
          <w:iCs/>
          <w:sz w:val="22"/>
          <w:szCs w:val="22"/>
          <w:u w:val="single"/>
          <w:lang w:val="fr-FR" w:eastAsia="en-IE"/>
        </w:rPr>
        <w:t>Concepts clés</w:t>
      </w:r>
    </w:p>
    <w:p w14:paraId="45427005" w14:textId="77777777" w:rsidR="00402559" w:rsidRPr="00AE3CFA" w:rsidRDefault="00402559" w:rsidP="006A15C3">
      <w:pPr>
        <w:spacing w:before="240" w:after="240" w:line="276" w:lineRule="auto"/>
        <w:jc w:val="both"/>
        <w:rPr>
          <w:rFonts w:ascii="Calibri" w:hAnsi="Calibri" w:cs="Calibri"/>
          <w:sz w:val="22"/>
          <w:szCs w:val="22"/>
          <w:lang w:val="fr-FR"/>
        </w:rPr>
      </w:pPr>
      <w:r w:rsidRPr="00AE3CFA">
        <w:rPr>
          <w:rFonts w:ascii="Calibri" w:eastAsia="Arial" w:hAnsi="Calibri" w:cs="Calibri"/>
          <w:b/>
          <w:sz w:val="22"/>
          <w:szCs w:val="22"/>
          <w:lang w:val="fr-FR" w:eastAsia="en-IE"/>
        </w:rPr>
        <w:t>Planification</w:t>
      </w:r>
      <w:r w:rsidRPr="00AE3CFA">
        <w:rPr>
          <w:rStyle w:val="lev"/>
          <w:rFonts w:ascii="Calibri" w:hAnsi="Calibri" w:cs="Calibri"/>
          <w:sz w:val="22"/>
          <w:szCs w:val="22"/>
          <w:lang w:val="fr-FR"/>
        </w:rPr>
        <w:t xml:space="preserve"> </w:t>
      </w:r>
      <w:r w:rsidRPr="00AE3CFA">
        <w:rPr>
          <w:rFonts w:ascii="Calibri" w:eastAsia="Arial" w:hAnsi="Calibri" w:cs="Calibri"/>
          <w:b/>
          <w:sz w:val="22"/>
          <w:szCs w:val="22"/>
          <w:lang w:val="fr-FR" w:eastAsia="en-IE"/>
        </w:rPr>
        <w:t>stratégique</w:t>
      </w:r>
    </w:p>
    <w:p w14:paraId="20D03D38"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Définition :</w:t>
      </w:r>
      <w:r w:rsidRPr="00AE3CFA">
        <w:rPr>
          <w:rFonts w:ascii="Calibri" w:eastAsia="Arial" w:hAnsi="Calibri" w:cs="Calibri"/>
          <w:sz w:val="22"/>
          <w:szCs w:val="22"/>
          <w:lang w:val="fr-FR" w:eastAsia="en-IE"/>
        </w:rPr>
        <w:t xml:space="preserve"> La planification stratégique consiste à définir des objectifs et des buts à long terme alignés sur les principes de durabilité. Elle nécessite une compréhension approfondie des impacts plus larges du projet sur l’environnement, la société et l’économie.</w:t>
      </w:r>
    </w:p>
    <w:p w14:paraId="6FC9592B"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Explication détaillée :</w:t>
      </w:r>
      <w:r w:rsidRPr="00AE3CFA">
        <w:rPr>
          <w:rFonts w:ascii="Calibri" w:eastAsia="Arial" w:hAnsi="Calibri" w:cs="Calibri"/>
          <w:sz w:val="22"/>
          <w:szCs w:val="22"/>
          <w:lang w:val="fr-FR" w:eastAsia="en-IE"/>
        </w:rPr>
        <w:t xml:space="preserve"> La planification stratégique est essentielle pour intégrer la durabilité dans la gestion de projet. Elle implique la définition d’objectifs de durabilité, l’engagement des parties prenantes, la réalisation d’évaluations de durabilité et l’élaboration d’un plan de durabilité. Ce plan doit prioriser une gestion éthique des ressources, une utilisation efficace de l’énergie, une production minimale de déchets et une participation équitable des parties prenantes.</w:t>
      </w:r>
    </w:p>
    <w:p w14:paraId="1A6EBFEF"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Exemple :</w:t>
      </w:r>
      <w:r w:rsidRPr="00AE3CFA">
        <w:rPr>
          <w:rFonts w:ascii="Calibri" w:eastAsia="Arial" w:hAnsi="Calibri" w:cs="Calibri"/>
          <w:sz w:val="22"/>
          <w:szCs w:val="22"/>
          <w:lang w:val="fr-FR" w:eastAsia="en-IE"/>
        </w:rPr>
        <w:t xml:space="preserve"> Élaborer un plan pour un projet d’énergie renouvelable visant à réduire les émissions de carbone et à promouvoir les énergies propres.</w:t>
      </w:r>
    </w:p>
    <w:p w14:paraId="08C1CF3B" w14:textId="77777777" w:rsidR="001D4176" w:rsidRPr="00AE3CFA" w:rsidRDefault="001D4176" w:rsidP="006A15C3">
      <w:pPr>
        <w:pStyle w:val="NormalWeb"/>
        <w:jc w:val="both"/>
        <w:rPr>
          <w:rStyle w:val="lev"/>
          <w:rFonts w:ascii="Calibri" w:eastAsiaTheme="majorEastAsia" w:hAnsi="Calibri" w:cs="Calibri"/>
          <w:sz w:val="22"/>
          <w:szCs w:val="22"/>
        </w:rPr>
      </w:pPr>
    </w:p>
    <w:p w14:paraId="25C5EA4D" w14:textId="360F6C7D" w:rsidR="00402559" w:rsidRPr="00AE3CFA" w:rsidRDefault="00402559" w:rsidP="006A15C3">
      <w:pPr>
        <w:spacing w:before="240" w:after="240" w:line="276" w:lineRule="auto"/>
        <w:jc w:val="both"/>
        <w:rPr>
          <w:rFonts w:ascii="Calibri" w:eastAsia="Arial" w:hAnsi="Calibri" w:cs="Calibri"/>
          <w:b/>
          <w:sz w:val="22"/>
          <w:szCs w:val="22"/>
          <w:lang w:val="fr-FR" w:eastAsia="en-IE"/>
        </w:rPr>
      </w:pPr>
      <w:r w:rsidRPr="00AE3CFA">
        <w:rPr>
          <w:rFonts w:ascii="Calibri" w:eastAsia="Arial" w:hAnsi="Calibri" w:cs="Calibri"/>
          <w:b/>
          <w:sz w:val="22"/>
          <w:szCs w:val="22"/>
          <w:lang w:val="fr-FR" w:eastAsia="en-IE"/>
        </w:rPr>
        <w:t>Atténuation des risques</w:t>
      </w:r>
    </w:p>
    <w:p w14:paraId="34BA4179"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Définition :</w:t>
      </w:r>
      <w:r w:rsidRPr="00AE3CFA">
        <w:rPr>
          <w:rFonts w:ascii="Calibri" w:eastAsia="Arial" w:hAnsi="Calibri" w:cs="Calibri"/>
          <w:sz w:val="22"/>
          <w:szCs w:val="22"/>
          <w:lang w:val="fr-FR" w:eastAsia="en-IE"/>
        </w:rPr>
        <w:t xml:space="preserve"> L’atténuation des risques consiste à identifier les </w:t>
      </w:r>
      <w:proofErr w:type="gramStart"/>
      <w:r w:rsidRPr="00AE3CFA">
        <w:rPr>
          <w:rFonts w:ascii="Calibri" w:eastAsia="Arial" w:hAnsi="Calibri" w:cs="Calibri"/>
          <w:sz w:val="22"/>
          <w:szCs w:val="22"/>
          <w:lang w:val="fr-FR" w:eastAsia="en-IE"/>
        </w:rPr>
        <w:t>risques potentiels</w:t>
      </w:r>
      <w:proofErr w:type="gramEnd"/>
      <w:r w:rsidRPr="00AE3CFA">
        <w:rPr>
          <w:rFonts w:ascii="Calibri" w:eastAsia="Arial" w:hAnsi="Calibri" w:cs="Calibri"/>
          <w:sz w:val="22"/>
          <w:szCs w:val="22"/>
          <w:lang w:val="fr-FR" w:eastAsia="en-IE"/>
        </w:rPr>
        <w:t xml:space="preserve"> liés à la durabilité et à mettre en œuvre des mesures pour minimiser leur impact. Cela inclut les risques environnementaux, les changements réglementaires et les implications sociales.</w:t>
      </w:r>
    </w:p>
    <w:p w14:paraId="686E8CF5"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Explication détaillée :</w:t>
      </w:r>
      <w:r w:rsidRPr="00AE3CFA">
        <w:rPr>
          <w:rFonts w:ascii="Calibri" w:eastAsia="Arial" w:hAnsi="Calibri" w:cs="Calibri"/>
          <w:sz w:val="22"/>
          <w:szCs w:val="22"/>
          <w:lang w:val="fr-FR" w:eastAsia="en-IE"/>
        </w:rPr>
        <w:t xml:space="preserve"> L’atténuation des risques en gestion de projet durable nécessite une approche proactive pour identifier et gérer les risques pouvant compromettre les objectifs de durabilité du projet. Cela comprend l’évaluation des impacts environnementaux, la conformité réglementaire et les implications sociales. Une gestion efficace des risques peut améliorer la réputation de la marque, accroître l’efficacité des coûts et faciliter l’exécution du projet.</w:t>
      </w:r>
    </w:p>
    <w:p w14:paraId="74227036"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Exemple :</w:t>
      </w:r>
      <w:r w:rsidRPr="00AE3CFA">
        <w:rPr>
          <w:rFonts w:ascii="Calibri" w:eastAsia="Arial" w:hAnsi="Calibri" w:cs="Calibri"/>
          <w:sz w:val="22"/>
          <w:szCs w:val="22"/>
          <w:lang w:val="fr-FR" w:eastAsia="en-IE"/>
        </w:rPr>
        <w:t xml:space="preserve"> Évaluer l’impact environnemental d’un projet de construction et mettre en place des mesures pour réduire la pollution et les déchets.</w:t>
      </w:r>
    </w:p>
    <w:p w14:paraId="24BEB24E" w14:textId="77777777" w:rsidR="001D4176" w:rsidRPr="00AE3CFA" w:rsidRDefault="001D4176" w:rsidP="006A15C3">
      <w:pPr>
        <w:pStyle w:val="NormalWeb"/>
        <w:jc w:val="both"/>
        <w:rPr>
          <w:rFonts w:ascii="Calibri" w:hAnsi="Calibri" w:cs="Calibri"/>
          <w:sz w:val="22"/>
          <w:szCs w:val="22"/>
        </w:rPr>
      </w:pPr>
    </w:p>
    <w:p w14:paraId="6837C652" w14:textId="77777777" w:rsidR="00402559" w:rsidRPr="00AE3CFA" w:rsidRDefault="00402559" w:rsidP="006A15C3">
      <w:pPr>
        <w:spacing w:before="240" w:after="240" w:line="276" w:lineRule="auto"/>
        <w:jc w:val="both"/>
        <w:rPr>
          <w:rFonts w:ascii="Calibri" w:eastAsia="Arial" w:hAnsi="Calibri" w:cs="Calibri"/>
          <w:b/>
          <w:sz w:val="22"/>
          <w:szCs w:val="22"/>
          <w:lang w:val="fr-FR" w:eastAsia="en-IE"/>
        </w:rPr>
      </w:pPr>
      <w:r w:rsidRPr="00AE3CFA">
        <w:rPr>
          <w:rFonts w:ascii="Calibri" w:eastAsia="Arial" w:hAnsi="Calibri" w:cs="Calibri"/>
          <w:b/>
          <w:sz w:val="22"/>
          <w:szCs w:val="22"/>
          <w:lang w:val="fr-FR" w:eastAsia="en-IE"/>
        </w:rPr>
        <w:t>Coordination des initiatives de durabilité</w:t>
      </w:r>
    </w:p>
    <w:p w14:paraId="3EC0179F"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Définition :</w:t>
      </w:r>
      <w:r w:rsidRPr="00AE3CFA">
        <w:rPr>
          <w:rFonts w:ascii="Calibri" w:eastAsia="Arial" w:hAnsi="Calibri" w:cs="Calibri"/>
          <w:sz w:val="22"/>
          <w:szCs w:val="22"/>
          <w:lang w:val="fr-FR" w:eastAsia="en-IE"/>
        </w:rPr>
        <w:t xml:space="preserve"> La coordination garantit que tous les efforts de durabilité sont alignés sur les objectifs globaux du projet. Cela implique de travailler avec divers acteurs, y compris les organismes gouvernementaux, les ONG et les groupes communautaires.</w:t>
      </w:r>
    </w:p>
    <w:p w14:paraId="6A5714D0"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lastRenderedPageBreak/>
        <w:t>Explication détaillée :</w:t>
      </w:r>
      <w:r w:rsidRPr="00AE3CFA">
        <w:rPr>
          <w:rFonts w:ascii="Calibri" w:eastAsia="Arial" w:hAnsi="Calibri" w:cs="Calibri"/>
          <w:sz w:val="22"/>
          <w:szCs w:val="22"/>
          <w:lang w:val="fr-FR" w:eastAsia="en-IE"/>
        </w:rPr>
        <w:t xml:space="preserve"> La coordination efficace des initiatives de durabilité comprend l’engagement des parties prenantes, l’élaboration de plans de durabilité à long terme et le respect des lois et réglementations environnementales. Les coordinateurs de la durabilité jouent un rôle crucial en améliorant la performance environnementale, sociale et économique d’une organisation, en servant de relais entre les différents départements.</w:t>
      </w:r>
    </w:p>
    <w:p w14:paraId="29C6588A"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Exemple :</w:t>
      </w:r>
      <w:r w:rsidRPr="00AE3CFA">
        <w:rPr>
          <w:rFonts w:ascii="Calibri" w:eastAsia="Arial" w:hAnsi="Calibri" w:cs="Calibri"/>
          <w:sz w:val="22"/>
          <w:szCs w:val="22"/>
          <w:lang w:val="fr-FR" w:eastAsia="en-IE"/>
        </w:rPr>
        <w:t xml:space="preserve"> Collaborer avec les communautés locales pour s’assurer qu’un projet de développement profite aux habitants et préserve les écosystèmes locaux.</w:t>
      </w:r>
    </w:p>
    <w:p w14:paraId="0863F69C" w14:textId="77777777" w:rsidR="001D4176" w:rsidRPr="00AE3CFA" w:rsidRDefault="001D4176" w:rsidP="006A15C3">
      <w:pPr>
        <w:spacing w:before="240" w:after="240" w:line="276" w:lineRule="auto"/>
        <w:jc w:val="both"/>
        <w:rPr>
          <w:rFonts w:ascii="Calibri" w:hAnsi="Calibri" w:cs="Calibri"/>
          <w:sz w:val="22"/>
          <w:szCs w:val="22"/>
          <w:lang w:val="fr-FR"/>
        </w:rPr>
      </w:pPr>
    </w:p>
    <w:p w14:paraId="393F6BF7" w14:textId="77777777" w:rsidR="00402559" w:rsidRPr="00AE3CFA" w:rsidRDefault="00402559" w:rsidP="006A15C3">
      <w:pPr>
        <w:spacing w:before="240" w:after="240" w:line="276" w:lineRule="auto"/>
        <w:jc w:val="both"/>
        <w:rPr>
          <w:rFonts w:ascii="Calibri" w:eastAsia="Arial" w:hAnsi="Calibri" w:cs="Calibri"/>
          <w:b/>
          <w:sz w:val="22"/>
          <w:szCs w:val="22"/>
          <w:lang w:val="fr-FR" w:eastAsia="en-IE"/>
        </w:rPr>
      </w:pPr>
      <w:r w:rsidRPr="00AE3CFA">
        <w:rPr>
          <w:rFonts w:ascii="Calibri" w:eastAsia="Arial" w:hAnsi="Calibri" w:cs="Calibri"/>
          <w:b/>
          <w:sz w:val="22"/>
          <w:szCs w:val="22"/>
          <w:lang w:val="fr-FR" w:eastAsia="en-IE"/>
        </w:rPr>
        <w:t>Conformité aux politiques et réglementations</w:t>
      </w:r>
    </w:p>
    <w:p w14:paraId="511DC7A8"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Définition :</w:t>
      </w:r>
      <w:r w:rsidRPr="00AE3CFA">
        <w:rPr>
          <w:rFonts w:ascii="Calibri" w:eastAsia="Arial" w:hAnsi="Calibri" w:cs="Calibri"/>
          <w:sz w:val="22"/>
          <w:szCs w:val="22"/>
          <w:lang w:val="fr-FR" w:eastAsia="en-IE"/>
        </w:rPr>
        <w:t xml:space="preserve"> Se tenir à jour des politiques, réglementations et certifications liées à la durabilité. Cela garantit que le projet respecte les exigences légales et les normes de l’industrie.</w:t>
      </w:r>
    </w:p>
    <w:p w14:paraId="7E816B91"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Explication détaillée :</w:t>
      </w:r>
      <w:r w:rsidRPr="00AE3CFA">
        <w:rPr>
          <w:rFonts w:ascii="Calibri" w:eastAsia="Arial" w:hAnsi="Calibri" w:cs="Calibri"/>
          <w:sz w:val="22"/>
          <w:szCs w:val="22"/>
          <w:lang w:val="fr-FR" w:eastAsia="en-IE"/>
        </w:rPr>
        <w:t xml:space="preserve"> La conformité aux politiques et réglementations de durabilité implique de comprendre et de respecter les règles fédérales, nationales et locales, ainsi que les normes industrielles. Cela comprend l’obtention des permis nécessaires, la réalisation d’évaluations d’impact environnemental et la garantie que toutes les activités du projet respectent les lignes directrices de durabilité.</w:t>
      </w:r>
    </w:p>
    <w:p w14:paraId="46089D53" w14:textId="77777777" w:rsidR="00402559" w:rsidRPr="00AE3CFA" w:rsidRDefault="00402559"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lang w:val="fr-FR" w:eastAsia="en-IE"/>
        </w:rPr>
        <w:t>Exemple :</w:t>
      </w:r>
      <w:r w:rsidRPr="00AE3CFA">
        <w:rPr>
          <w:rFonts w:ascii="Calibri" w:eastAsia="Arial" w:hAnsi="Calibri" w:cs="Calibri"/>
          <w:sz w:val="22"/>
          <w:szCs w:val="22"/>
          <w:lang w:val="fr-FR" w:eastAsia="en-IE"/>
        </w:rPr>
        <w:t xml:space="preserve"> Veiller à ce qu’un projet de fabrication respecte les réglementations environnementales et obtienne les certifications nécessaires.</w:t>
      </w:r>
    </w:p>
    <w:p w14:paraId="4009246D" w14:textId="77E5F901" w:rsidR="001D4176" w:rsidRPr="00AE3CFA" w:rsidRDefault="001D4176" w:rsidP="006A15C3">
      <w:pPr>
        <w:spacing w:before="240" w:after="240" w:line="276" w:lineRule="auto"/>
        <w:jc w:val="both"/>
        <w:rPr>
          <w:rFonts w:ascii="Calibri" w:eastAsia="Arial" w:hAnsi="Calibri" w:cs="Calibri"/>
          <w:sz w:val="22"/>
          <w:szCs w:val="22"/>
          <w:lang w:val="fr-FR" w:eastAsia="en-IE"/>
        </w:rPr>
      </w:pPr>
      <w:r w:rsidRPr="00AE3CFA">
        <w:rPr>
          <w:rFonts w:ascii="Calibri" w:eastAsia="Arial" w:hAnsi="Calibri" w:cs="Calibri"/>
          <w:sz w:val="22"/>
          <w:szCs w:val="22"/>
          <w:lang w:val="fr-FR" w:eastAsia="en-IE"/>
        </w:rPr>
        <w:t>Tableau : Résumé des concepts clés</w:t>
      </w:r>
    </w:p>
    <w:tbl>
      <w:tblPr>
        <w:tblW w:w="8910" w:type="dxa"/>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Layout w:type="fixed"/>
        <w:tblLook w:val="0600" w:firstRow="0" w:lastRow="0" w:firstColumn="0" w:lastColumn="0" w:noHBand="1" w:noVBand="1"/>
      </w:tblPr>
      <w:tblGrid>
        <w:gridCol w:w="1860"/>
        <w:gridCol w:w="3285"/>
        <w:gridCol w:w="3765"/>
      </w:tblGrid>
      <w:tr w:rsidR="00402559" w:rsidRPr="00AE3CFA" w14:paraId="4408C911" w14:textId="77777777" w:rsidTr="00756530">
        <w:trPr>
          <w:trHeight w:val="330"/>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41181EBC" w14:textId="77777777" w:rsidR="00402559" w:rsidRPr="00AE3CFA" w:rsidRDefault="00402559" w:rsidP="00756530">
            <w:pPr>
              <w:spacing w:before="160" w:after="160"/>
              <w:jc w:val="center"/>
              <w:rPr>
                <w:rFonts w:ascii="Calibri" w:eastAsia="Roboto" w:hAnsi="Calibri" w:cs="Calibri"/>
                <w:color w:val="242424"/>
                <w:sz w:val="22"/>
                <w:szCs w:val="22"/>
                <w:lang w:val="fr-FR"/>
              </w:rPr>
            </w:pPr>
            <w:r w:rsidRPr="00AE3CFA">
              <w:rPr>
                <w:rFonts w:ascii="Calibri" w:eastAsia="Roboto" w:hAnsi="Calibri" w:cs="Calibri"/>
                <w:b/>
                <w:color w:val="242424"/>
                <w:sz w:val="22"/>
                <w:szCs w:val="22"/>
                <w:lang w:val="fr-FR"/>
              </w:rPr>
              <w:t>Concept</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555FDFFF" w14:textId="12D69F2D" w:rsidR="00402559" w:rsidRPr="00AE3CFA" w:rsidRDefault="00402559" w:rsidP="00756530">
            <w:pPr>
              <w:spacing w:before="160" w:after="160"/>
              <w:jc w:val="center"/>
              <w:rPr>
                <w:rFonts w:ascii="Calibri" w:eastAsia="Roboto" w:hAnsi="Calibri" w:cs="Calibri"/>
                <w:color w:val="242424"/>
                <w:sz w:val="22"/>
                <w:szCs w:val="22"/>
                <w:lang w:val="fr-FR"/>
              </w:rPr>
            </w:pPr>
            <w:r w:rsidRPr="00AE3CFA">
              <w:rPr>
                <w:rFonts w:ascii="Calibri" w:eastAsia="Roboto" w:hAnsi="Calibri" w:cs="Calibri"/>
                <w:b/>
                <w:color w:val="242424"/>
                <w:sz w:val="22"/>
                <w:szCs w:val="22"/>
                <w:lang w:val="fr-FR"/>
              </w:rPr>
              <w:t>D</w:t>
            </w:r>
            <w:r w:rsidR="001D4176" w:rsidRPr="00AE3CFA">
              <w:rPr>
                <w:rFonts w:ascii="Calibri" w:eastAsia="Roboto" w:hAnsi="Calibri" w:cs="Calibri"/>
                <w:b/>
                <w:color w:val="242424"/>
                <w:sz w:val="22"/>
                <w:szCs w:val="22"/>
                <w:lang w:val="fr-FR"/>
              </w:rPr>
              <w:t>é</w:t>
            </w:r>
            <w:r w:rsidRPr="00AE3CFA">
              <w:rPr>
                <w:rFonts w:ascii="Calibri" w:eastAsia="Roboto" w:hAnsi="Calibri" w:cs="Calibri"/>
                <w:b/>
                <w:color w:val="242424"/>
                <w:sz w:val="22"/>
                <w:szCs w:val="22"/>
                <w:lang w:val="fr-FR"/>
              </w:rPr>
              <w:t>finition</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5A212156" w14:textId="316FC544" w:rsidR="00402559" w:rsidRPr="00AE3CFA" w:rsidRDefault="00402559" w:rsidP="00756530">
            <w:pPr>
              <w:spacing w:before="160" w:after="160"/>
              <w:jc w:val="center"/>
              <w:rPr>
                <w:rFonts w:ascii="Calibri" w:eastAsia="Roboto" w:hAnsi="Calibri" w:cs="Calibri"/>
                <w:color w:val="242424"/>
                <w:sz w:val="22"/>
                <w:szCs w:val="22"/>
                <w:lang w:val="fr-FR"/>
              </w:rPr>
            </w:pPr>
            <w:r w:rsidRPr="00AE3CFA">
              <w:rPr>
                <w:rFonts w:ascii="Calibri" w:eastAsia="Roboto" w:hAnsi="Calibri" w:cs="Calibri"/>
                <w:b/>
                <w:color w:val="242424"/>
                <w:sz w:val="22"/>
                <w:szCs w:val="22"/>
                <w:lang w:val="fr-FR"/>
              </w:rPr>
              <w:t>Ex</w:t>
            </w:r>
            <w:r w:rsidR="001D4176" w:rsidRPr="00AE3CFA">
              <w:rPr>
                <w:rFonts w:ascii="Calibri" w:eastAsia="Roboto" w:hAnsi="Calibri" w:cs="Calibri"/>
                <w:b/>
                <w:color w:val="242424"/>
                <w:sz w:val="22"/>
                <w:szCs w:val="22"/>
                <w:lang w:val="fr-FR"/>
              </w:rPr>
              <w:t>e</w:t>
            </w:r>
            <w:r w:rsidRPr="00AE3CFA">
              <w:rPr>
                <w:rFonts w:ascii="Calibri" w:eastAsia="Roboto" w:hAnsi="Calibri" w:cs="Calibri"/>
                <w:b/>
                <w:color w:val="242424"/>
                <w:sz w:val="22"/>
                <w:szCs w:val="22"/>
                <w:lang w:val="fr-FR"/>
              </w:rPr>
              <w:t>mple</w:t>
            </w:r>
          </w:p>
        </w:tc>
      </w:tr>
      <w:tr w:rsidR="00402559" w:rsidRPr="00AE3CFA" w14:paraId="211AEEA5" w14:textId="77777777" w:rsidTr="00756530">
        <w:trPr>
          <w:trHeight w:val="885"/>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20166F70" w14:textId="794AE70A"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Planification stratégique</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17BDE27F" w14:textId="222B38FA"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Définir des objectifs et des buts à long terme alignés sur les principes de durabilité</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6AA6EE90" w14:textId="2C3B96FE"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Élaborer un plan pour un projet d’énergie renouvelable</w:t>
            </w:r>
          </w:p>
        </w:tc>
      </w:tr>
      <w:tr w:rsidR="00402559" w:rsidRPr="00AE3CFA" w14:paraId="596A0B32" w14:textId="77777777" w:rsidTr="00756530">
        <w:trPr>
          <w:trHeight w:val="615"/>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2141EBBD" w14:textId="32FB9518"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Atténuation des risques</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78FD632F" w14:textId="15279345"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 xml:space="preserve">Identifier et minimiser les </w:t>
            </w:r>
            <w:proofErr w:type="gramStart"/>
            <w:r w:rsidRPr="00AE3CFA">
              <w:rPr>
                <w:rFonts w:ascii="Calibri" w:eastAsia="Roboto" w:hAnsi="Calibri" w:cs="Calibri"/>
                <w:color w:val="242424"/>
                <w:sz w:val="22"/>
                <w:szCs w:val="22"/>
                <w:lang w:val="fr-FR"/>
              </w:rPr>
              <w:t>risques potentiels</w:t>
            </w:r>
            <w:proofErr w:type="gramEnd"/>
            <w:r w:rsidRPr="00AE3CFA">
              <w:rPr>
                <w:rFonts w:ascii="Calibri" w:eastAsia="Roboto" w:hAnsi="Calibri" w:cs="Calibri"/>
                <w:color w:val="242424"/>
                <w:sz w:val="22"/>
                <w:szCs w:val="22"/>
                <w:lang w:val="fr-FR"/>
              </w:rPr>
              <w:t xml:space="preserve"> liés à la durabilité</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2BD304C0" w14:textId="65CD8765"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Évaluer l’impact environnemental et réduire la pollution</w:t>
            </w:r>
          </w:p>
        </w:tc>
      </w:tr>
      <w:tr w:rsidR="00402559" w:rsidRPr="00AE3CFA" w14:paraId="4DD1D4A6" w14:textId="77777777" w:rsidTr="00756530">
        <w:trPr>
          <w:trHeight w:val="885"/>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543C6803" w14:textId="4C62BD2E"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Coordination des initiatives de durabilité</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2C6F15AE" w14:textId="765DE68A"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Veiller à ce que tous les efforts de durabilité soient alignés sur les objectifs du projet</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3C9F7ED7" w14:textId="1E1D1B76"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Collaborer avec les communautés locales pour bénéficier aux habitants et préserver les écosystèmes</w:t>
            </w:r>
          </w:p>
        </w:tc>
      </w:tr>
      <w:tr w:rsidR="00402559" w:rsidRPr="00AE3CFA" w14:paraId="1A22F509" w14:textId="77777777" w:rsidTr="00756530">
        <w:trPr>
          <w:trHeight w:val="885"/>
        </w:trPr>
        <w:tc>
          <w:tcPr>
            <w:tcW w:w="1860"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05D7B648" w14:textId="595697A1"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Conformité aux politiques et réglementations</w:t>
            </w:r>
          </w:p>
        </w:tc>
        <w:tc>
          <w:tcPr>
            <w:tcW w:w="328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3F7890B1" w14:textId="4BFFDB7A"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 xml:space="preserve">Respecter les politiques et certifications liées à la durabilité </w:t>
            </w:r>
          </w:p>
        </w:tc>
        <w:tc>
          <w:tcPr>
            <w:tcW w:w="3765" w:type="dxa"/>
            <w:tcBorders>
              <w:top w:val="single" w:sz="4" w:space="0" w:color="242424"/>
              <w:left w:val="single" w:sz="4" w:space="0" w:color="242424"/>
              <w:bottom w:val="single" w:sz="4" w:space="0" w:color="242424"/>
              <w:right w:val="single" w:sz="4" w:space="0" w:color="242424"/>
            </w:tcBorders>
            <w:tcMar>
              <w:top w:w="20" w:type="dxa"/>
              <w:left w:w="80" w:type="dxa"/>
              <w:bottom w:w="20" w:type="dxa"/>
              <w:right w:w="80" w:type="dxa"/>
            </w:tcMar>
          </w:tcPr>
          <w:p w14:paraId="0F53BA69" w14:textId="38623DEA" w:rsidR="00402559" w:rsidRPr="00AE3CFA" w:rsidRDefault="006158E2" w:rsidP="00756530">
            <w:pPr>
              <w:spacing w:before="160" w:after="160"/>
              <w:rPr>
                <w:rFonts w:ascii="Calibri" w:eastAsia="Roboto" w:hAnsi="Calibri" w:cs="Calibri"/>
                <w:color w:val="242424"/>
                <w:sz w:val="22"/>
                <w:szCs w:val="22"/>
                <w:lang w:val="fr-FR"/>
              </w:rPr>
            </w:pPr>
            <w:r w:rsidRPr="00AE3CFA">
              <w:rPr>
                <w:rFonts w:ascii="Calibri" w:eastAsia="Roboto" w:hAnsi="Calibri" w:cs="Calibri"/>
                <w:color w:val="242424"/>
                <w:sz w:val="22"/>
                <w:szCs w:val="22"/>
                <w:lang w:val="fr-FR"/>
              </w:rPr>
              <w:t>Assurer la conformité avec les réglementations environnementales et obtenir les certifications nécessaires</w:t>
            </w:r>
          </w:p>
        </w:tc>
      </w:tr>
    </w:tbl>
    <w:p w14:paraId="0E518932" w14:textId="77777777" w:rsidR="00FF6C6D" w:rsidRPr="00AE3CFA" w:rsidRDefault="00FF6C6D">
      <w:pPr>
        <w:rPr>
          <w:rFonts w:ascii="Calibri" w:hAnsi="Calibri" w:cs="Calibri"/>
          <w:sz w:val="22"/>
          <w:szCs w:val="22"/>
          <w:lang w:val="fr-FR"/>
        </w:rPr>
      </w:pPr>
    </w:p>
    <w:sectPr w:rsidR="00FF6C6D" w:rsidRPr="00AE3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70B"/>
    <w:multiLevelType w:val="multilevel"/>
    <w:tmpl w:val="6204B022"/>
    <w:styleLink w:val="BulletPoint"/>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1A6467"/>
    <w:multiLevelType w:val="multilevel"/>
    <w:tmpl w:val="080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50896"/>
    <w:multiLevelType w:val="multilevel"/>
    <w:tmpl w:val="39DC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B11B2"/>
    <w:multiLevelType w:val="multilevel"/>
    <w:tmpl w:val="404A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06ED5"/>
    <w:multiLevelType w:val="multilevel"/>
    <w:tmpl w:val="5F9E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810181">
    <w:abstractNumId w:val="0"/>
  </w:num>
  <w:num w:numId="2" w16cid:durableId="2067026969">
    <w:abstractNumId w:val="1"/>
  </w:num>
  <w:num w:numId="3" w16cid:durableId="1666858150">
    <w:abstractNumId w:val="2"/>
  </w:num>
  <w:num w:numId="4" w16cid:durableId="2038314786">
    <w:abstractNumId w:val="4"/>
  </w:num>
  <w:num w:numId="5" w16cid:durableId="1369842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03"/>
    <w:rsid w:val="001D4176"/>
    <w:rsid w:val="002C3CC5"/>
    <w:rsid w:val="00402559"/>
    <w:rsid w:val="004D07B5"/>
    <w:rsid w:val="006158E2"/>
    <w:rsid w:val="006A15C3"/>
    <w:rsid w:val="00981AEE"/>
    <w:rsid w:val="00AE3CFA"/>
    <w:rsid w:val="00CB4003"/>
    <w:rsid w:val="00DD5465"/>
    <w:rsid w:val="00FF6C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69920F"/>
  <w15:chartTrackingRefBased/>
  <w15:docId w15:val="{03633D38-A4A1-EC42-97BB-DFF4FC54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CB4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4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40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40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40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400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400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400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400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BulletPoint">
    <w:name w:val="Bullet Point"/>
    <w:basedOn w:val="Aucuneliste"/>
    <w:uiPriority w:val="99"/>
    <w:rsid w:val="00DD5465"/>
    <w:pPr>
      <w:numPr>
        <w:numId w:val="1"/>
      </w:numPr>
    </w:pPr>
  </w:style>
  <w:style w:type="character" w:customStyle="1" w:styleId="Titre1Car">
    <w:name w:val="Titre 1 Car"/>
    <w:basedOn w:val="Policepardfaut"/>
    <w:link w:val="Titre1"/>
    <w:uiPriority w:val="9"/>
    <w:rsid w:val="00CB4003"/>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CB4003"/>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CB4003"/>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CB4003"/>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CB4003"/>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CB4003"/>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CB4003"/>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CB4003"/>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CB4003"/>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CB400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4003"/>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CB400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4003"/>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CB400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4003"/>
    <w:rPr>
      <w:i/>
      <w:iCs/>
      <w:color w:val="404040" w:themeColor="text1" w:themeTint="BF"/>
      <w:lang w:val="en-GB"/>
    </w:rPr>
  </w:style>
  <w:style w:type="paragraph" w:styleId="Paragraphedeliste">
    <w:name w:val="List Paragraph"/>
    <w:basedOn w:val="Normal"/>
    <w:uiPriority w:val="34"/>
    <w:qFormat/>
    <w:rsid w:val="00CB4003"/>
    <w:pPr>
      <w:ind w:left="720"/>
      <w:contextualSpacing/>
    </w:pPr>
  </w:style>
  <w:style w:type="character" w:styleId="Accentuationintense">
    <w:name w:val="Intense Emphasis"/>
    <w:basedOn w:val="Policepardfaut"/>
    <w:uiPriority w:val="21"/>
    <w:qFormat/>
    <w:rsid w:val="00CB4003"/>
    <w:rPr>
      <w:i/>
      <w:iCs/>
      <w:color w:val="0F4761" w:themeColor="accent1" w:themeShade="BF"/>
    </w:rPr>
  </w:style>
  <w:style w:type="paragraph" w:styleId="Citationintense">
    <w:name w:val="Intense Quote"/>
    <w:basedOn w:val="Normal"/>
    <w:next w:val="Normal"/>
    <w:link w:val="CitationintenseCar"/>
    <w:uiPriority w:val="30"/>
    <w:qFormat/>
    <w:rsid w:val="00CB4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4003"/>
    <w:rPr>
      <w:i/>
      <w:iCs/>
      <w:color w:val="0F4761" w:themeColor="accent1" w:themeShade="BF"/>
      <w:lang w:val="en-GB"/>
    </w:rPr>
  </w:style>
  <w:style w:type="character" w:styleId="Rfrenceintense">
    <w:name w:val="Intense Reference"/>
    <w:basedOn w:val="Policepardfaut"/>
    <w:uiPriority w:val="32"/>
    <w:qFormat/>
    <w:rsid w:val="00CB4003"/>
    <w:rPr>
      <w:b/>
      <w:bCs/>
      <w:smallCaps/>
      <w:color w:val="0F4761" w:themeColor="accent1" w:themeShade="BF"/>
      <w:spacing w:val="5"/>
    </w:rPr>
  </w:style>
  <w:style w:type="paragraph" w:styleId="NormalWeb">
    <w:name w:val="Normal (Web)"/>
    <w:basedOn w:val="Normal"/>
    <w:uiPriority w:val="99"/>
    <w:semiHidden/>
    <w:unhideWhenUsed/>
    <w:rsid w:val="00402559"/>
    <w:pPr>
      <w:spacing w:before="100" w:beforeAutospacing="1" w:after="100" w:afterAutospacing="1"/>
    </w:pPr>
    <w:rPr>
      <w:rFonts w:ascii="Times New Roman" w:eastAsia="Times New Roman" w:hAnsi="Times New Roman" w:cs="Times New Roman"/>
      <w:lang w:val="fr-FR" w:eastAsia="fr-FR"/>
    </w:rPr>
  </w:style>
  <w:style w:type="character" w:styleId="lev">
    <w:name w:val="Strong"/>
    <w:basedOn w:val="Policepardfaut"/>
    <w:uiPriority w:val="22"/>
    <w:qFormat/>
    <w:rsid w:val="00402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B54B08-A463-42D6-BE8E-333A5F717C7F}"/>
</file>

<file path=customXml/itemProps2.xml><?xml version="1.0" encoding="utf-8"?>
<ds:datastoreItem xmlns:ds="http://schemas.openxmlformats.org/officeDocument/2006/customXml" ds:itemID="{DD18469F-88B9-425D-B545-19A21D17CE8E}"/>
</file>

<file path=customXml/itemProps3.xml><?xml version="1.0" encoding="utf-8"?>
<ds:datastoreItem xmlns:ds="http://schemas.openxmlformats.org/officeDocument/2006/customXml" ds:itemID="{9BDD75B0-DA1D-444E-8360-7A44FAB6D661}"/>
</file>

<file path=docProps/app.xml><?xml version="1.0" encoding="utf-8"?>
<Properties xmlns="http://schemas.openxmlformats.org/officeDocument/2006/extended-properties" xmlns:vt="http://schemas.openxmlformats.org/officeDocument/2006/docPropsVTypes">
  <Template>Normal.dotm</Template>
  <TotalTime>11</TotalTime>
  <Pages>2</Pages>
  <Words>734</Words>
  <Characters>4041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Spada</dc:creator>
  <cp:keywords/>
  <dc:description/>
  <cp:lastModifiedBy>Dominic Spada</cp:lastModifiedBy>
  <cp:revision>6</cp:revision>
  <dcterms:created xsi:type="dcterms:W3CDTF">2025-09-15T13:59:00Z</dcterms:created>
  <dcterms:modified xsi:type="dcterms:W3CDTF">2025-09-15T14:15:00Z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0x010100E0D2A5F4FBA18E4FAEF238F53AC8A9E9</vt:lpwstr>
  </property>
</Properties>
</file>