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E4FA" w14:textId="038EDFDA" w:rsidR="00B7384F" w:rsidRPr="00B7384F" w:rsidRDefault="001450B4" w:rsidP="00B7384F">
      <w:pPr>
        <w:spacing w:before="100" w:beforeAutospacing="1" w:after="100" w:afterAutospacing="1"/>
        <w:outlineLvl w:val="2"/>
        <w:rPr>
          <w:rFonts w:ascii="Times New Roman" w:eastAsia="Times New Roman" w:hAnsi="Times New Roman" w:cs="Times New Roman"/>
          <w:b/>
          <w:bCs/>
          <w:sz w:val="27"/>
          <w:szCs w:val="27"/>
          <w:lang w:val="fr-FR" w:eastAsia="fr-FR"/>
        </w:rPr>
      </w:pPr>
      <w:r w:rsidRPr="001450B4">
        <w:rPr>
          <w:rFonts w:ascii="Calibri" w:eastAsia="Arial" w:hAnsi="Calibri" w:cs="Calibri"/>
          <w:sz w:val="22"/>
          <w:szCs w:val="22"/>
          <w:lang w:val="en-IE" w:eastAsia="en-IE"/>
        </w:rPr>
        <w:t>Lisez l’étude de cas suivant :</w:t>
      </w:r>
      <w:r w:rsidR="00B7384F" w:rsidRPr="00B7384F">
        <w:rPr>
          <w:rFonts w:ascii="Times New Roman" w:eastAsia="Times New Roman" w:hAnsi="Times New Roman" w:cs="Times New Roman"/>
          <w:b/>
          <w:bCs/>
          <w:sz w:val="27"/>
          <w:szCs w:val="27"/>
          <w:lang w:val="fr-FR" w:eastAsia="fr-FR"/>
        </w:rPr>
        <w:t xml:space="preserve"> </w:t>
      </w:r>
      <w:r w:rsidR="00B7384F" w:rsidRPr="00B7384F">
        <w:rPr>
          <w:rFonts w:ascii="Calibri" w:eastAsia="Arial" w:hAnsi="Calibri" w:cs="Calibri"/>
          <w:b/>
          <w:bCs/>
          <w:sz w:val="22"/>
          <w:szCs w:val="22"/>
          <w:lang w:val="en-IE" w:eastAsia="en-IE"/>
        </w:rPr>
        <w:t>Projet d’énergie solaire GreenTech</w:t>
      </w:r>
    </w:p>
    <w:p w14:paraId="1A9BFF0C"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Dans la ville dynamique de taille moyenne de Greenfield, une initiative transformatrice était en cours. Le projet d’énergie solaire GreenTech visait à révolutionner le paysage énergétique de la ville en exploitant la puissance du soleil. Ce projet est né d’un désir collectif de réduire les émissions de carbone et de promouvoir l’énergie propre, porté par une coalition d’agences gouvernementales, d’investisseurs privés et de membres de la communauté.</w:t>
      </w:r>
    </w:p>
    <w:p w14:paraId="6D9439FC"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Le parcours a commencé avec une vision : atteindre une réduction de 30 % des émissions de carbone en cinq ans et augmenter la dépendance de la ville aux sources d’énergie renouvelables jusqu’à 50 %. L’équipe du projet, dirigée par Sarah, une cheffe de projet passionnée et déterminée, s’est engagée dans un processus de planification stratégique qui allait poser les bases de cette ambitieuse entreprise.</w:t>
      </w:r>
    </w:p>
    <w:p w14:paraId="6A817573"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Sarah savait que le succès du projet GreenTech reposait sur l’implication de la communauté. Elle a organisé des réunions publiques, des ateliers et des séances d’information afin de mobiliser les habitants et les entreprises locales. Ces événements étaient animés par des discussions vives, où les parties prenantes exprimaient leurs espoirs, leurs préoccupations et leurs idées. Grâce à ces échanges, Sarah et son équipe ont pu recueillir de précieux éclairages et bâtir un solide soutien au projet.</w:t>
      </w:r>
    </w:p>
    <w:p w14:paraId="0383B531"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Avec la communauté à leurs côtés, l’équipe a mené une évaluation complète de durabilité. Ils ont examiné les impacts environnementaux, sociaux et économiques potentiels du projet, en veillant à ce que chaque aspect soit soigneusement pris en compte. L’évaluation a révélé plusieurs défis, notamment les risques de perturbation des écosystèmes locaux et la nécessité de se conformer aux réglementations. Sans se laisser décourager, Sarah et son équipe ont élaboré un plan de durabilité détaillé, qui donnait la priorité à la gestion éthique des ressources, à l’efficacité énergétique, à la réduction des déchets et à l’engagement équitable des parties prenantes.</w:t>
      </w:r>
    </w:p>
    <w:p w14:paraId="6ECAC84E"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Au fil de l’avancement du projet, l’équipe a dû affronter de nombreux risques. Les risques environnementaux étaient importants, avec des inquiétudes concernant l’impact de la ferme solaire sur la faune et les habitats locaux. Les risques réglementaires représentaient également une menace, car des changements dans les politiques gouvernementales pouvaient affecter le financement et la mise en œuvre. Enfin, des risques sociaux ont émergé lorsque certains habitants ont exprimé leurs préoccupations quant à l’esthétique des panneaux solaires et aux perturbations possibles durant leur installation.</w:t>
      </w:r>
    </w:p>
    <w:p w14:paraId="74733851"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 xml:space="preserve">Pour relever ces défis, l’équipe a mis en place une série de stratégies proactives. Elle a mené une étude d’impact environnemental pour identifier et atténuer les effets négatifs potentiels sur les écosystèmes </w:t>
      </w:r>
      <w:r w:rsidRPr="00B7384F">
        <w:rPr>
          <w:rFonts w:ascii="Calibri" w:eastAsia="Arial" w:hAnsi="Calibri" w:cs="Calibri"/>
          <w:sz w:val="22"/>
          <w:szCs w:val="22"/>
          <w:lang w:val="en-IE" w:eastAsia="en-IE"/>
        </w:rPr>
        <w:lastRenderedPageBreak/>
        <w:t>locaux. Elle est restée attentive aux évolutions réglementaires afin de garantir la conformité du projet avec toutes les politiques et lois pertinentes. Sarah a également intensifié les efforts de sensibilisation auprès de la communauté, en organisant de nouveaux ateliers et séances d’information pour répondre aux préoccupations et renforcer la confiance.</w:t>
      </w:r>
    </w:p>
    <w:p w14:paraId="03446F7E"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La coordination des initiatives de durabilité était une tâche complexe qui nécessitait une planification minutieuse et une collaboration étroite. Sarah a travaillé en étroite collaboration avec des agences gouvernementales, des ONG et des groupes communautaires pour garantir que tous les efforts soient alignés sur les objectifs du projet. Elle a utilisé des outils de gestion de projet pour suivre les progrès, gérer les ressources et coordonner les actions entre les différentes équipes. La communication a joué un rôle clé, et Sarah a maintenu des échanges ouverts avec toutes les parties prenantes, favorisant ainsi transparence et confiance.</w:t>
      </w:r>
    </w:p>
    <w:p w14:paraId="7375F62F"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La conformité aux politiques et réglementations liées à la durabilité constituait un aspect critique du projet. L’équipe a veillé à ce que le projet GreenTech respecte les réglementations environnementales locales, nationales et fédérales. Elle a obtenu les permis nécessaires et réalisé des études d’impact approfondies. De plus, elle a poursuivi des certifications en énergies renouvelables, telles que LEED et ISO 14001, pour démontrer son engagement en faveur de la durabilité.</w:t>
      </w:r>
    </w:p>
    <w:p w14:paraId="0F7258DF"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À mesure que le projet progressait, l’équipe a célébré plusieurs jalons. En trois ans seulement, elle a réussi à réduire les émissions de carbone de 25 %. La part d’énergies renouvelables dans l’approvisionnement énergétique de la ville est passée à 40 %, une réalisation significative qui rapprochait Greenfield de son objectif. Les efforts d’engagement communautaire ont porté leurs fruits, avec plus de 1 000 habitants et entreprises locales participant activement aux initiatives de durabilité et promouvant les avantages des énergies renouvelables.</w:t>
      </w:r>
    </w:p>
    <w:p w14:paraId="30C82DB7" w14:textId="77777777" w:rsidR="00B7384F" w:rsidRPr="00B7384F" w:rsidRDefault="00B7384F" w:rsidP="001450B4">
      <w:pPr>
        <w:spacing w:before="240" w:after="240" w:line="360" w:lineRule="auto"/>
        <w:jc w:val="both"/>
        <w:rPr>
          <w:rFonts w:ascii="Calibri" w:eastAsia="Arial" w:hAnsi="Calibri" w:cs="Calibri"/>
          <w:sz w:val="22"/>
          <w:szCs w:val="22"/>
          <w:lang w:val="en-IE" w:eastAsia="en-IE"/>
        </w:rPr>
      </w:pPr>
      <w:r w:rsidRPr="00B7384F">
        <w:rPr>
          <w:rFonts w:ascii="Calibri" w:eastAsia="Arial" w:hAnsi="Calibri" w:cs="Calibri"/>
          <w:sz w:val="22"/>
          <w:szCs w:val="22"/>
          <w:lang w:val="en-IE" w:eastAsia="en-IE"/>
        </w:rPr>
        <w:t>Le projet GreenTech Solar Energy n’était pas seulement une initiative ; c’était un mouvement qui a uni la ville de Greenfield autour d’une vision commune d’un avenir durable. Grâce à la planification stratégique, à la gestion des risques, à la coordination et à la conformité, Sarah et son équipe ont démontré la puissance de la collaboration et l’importance de la gestion durable des projets. Leur parcours témoigne de l’impact que des individus et des communautés engagés peuvent avoir lorsqu’ils travaillent ensemble vers un objectif commun.</w:t>
      </w:r>
    </w:p>
    <w:p w14:paraId="1732C4AE" w14:textId="77777777" w:rsidR="00FF6C6D" w:rsidRPr="001450B4" w:rsidRDefault="00FF6C6D" w:rsidP="001450B4">
      <w:pPr>
        <w:spacing w:before="240" w:after="240" w:line="360" w:lineRule="auto"/>
        <w:jc w:val="both"/>
        <w:rPr>
          <w:rFonts w:ascii="Calibri" w:eastAsia="Arial" w:hAnsi="Calibri" w:cs="Calibri"/>
          <w:sz w:val="22"/>
          <w:szCs w:val="22"/>
          <w:lang w:val="en-IE" w:eastAsia="en-IE"/>
        </w:rPr>
      </w:pPr>
    </w:p>
    <w:sectPr w:rsidR="00FF6C6D" w:rsidRPr="00145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70B"/>
    <w:multiLevelType w:val="multilevel"/>
    <w:tmpl w:val="6204B022"/>
    <w:styleLink w:val="BulletPoint"/>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981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36"/>
    <w:rsid w:val="001450B4"/>
    <w:rsid w:val="00271E36"/>
    <w:rsid w:val="002C3CC5"/>
    <w:rsid w:val="00981AEE"/>
    <w:rsid w:val="00B7384F"/>
    <w:rsid w:val="00DD5465"/>
    <w:rsid w:val="00FF6C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6F755A"/>
  <w15:chartTrackingRefBased/>
  <w15:docId w15:val="{E0E43A92-1F4D-CB44-AF1C-AF4BA7A4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271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1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71E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1E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1E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1E3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1E3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1E3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1E3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BulletPoint">
    <w:name w:val="Bullet Point"/>
    <w:basedOn w:val="Aucuneliste"/>
    <w:uiPriority w:val="99"/>
    <w:rsid w:val="00DD5465"/>
    <w:pPr>
      <w:numPr>
        <w:numId w:val="1"/>
      </w:numPr>
    </w:pPr>
  </w:style>
  <w:style w:type="character" w:customStyle="1" w:styleId="Titre1Car">
    <w:name w:val="Titre 1 Car"/>
    <w:basedOn w:val="Policepardfaut"/>
    <w:link w:val="Titre1"/>
    <w:uiPriority w:val="9"/>
    <w:rsid w:val="00271E36"/>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271E36"/>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rsid w:val="00271E36"/>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271E36"/>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271E36"/>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271E36"/>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271E36"/>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271E36"/>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271E36"/>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271E3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1E36"/>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271E3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1E36"/>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271E3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71E36"/>
    <w:rPr>
      <w:i/>
      <w:iCs/>
      <w:color w:val="404040" w:themeColor="text1" w:themeTint="BF"/>
      <w:lang w:val="en-GB"/>
    </w:rPr>
  </w:style>
  <w:style w:type="paragraph" w:styleId="Paragraphedeliste">
    <w:name w:val="List Paragraph"/>
    <w:basedOn w:val="Normal"/>
    <w:uiPriority w:val="34"/>
    <w:qFormat/>
    <w:rsid w:val="00271E36"/>
    <w:pPr>
      <w:ind w:left="720"/>
      <w:contextualSpacing/>
    </w:pPr>
  </w:style>
  <w:style w:type="character" w:styleId="Accentuationintense">
    <w:name w:val="Intense Emphasis"/>
    <w:basedOn w:val="Policepardfaut"/>
    <w:uiPriority w:val="21"/>
    <w:qFormat/>
    <w:rsid w:val="00271E36"/>
    <w:rPr>
      <w:i/>
      <w:iCs/>
      <w:color w:val="0F4761" w:themeColor="accent1" w:themeShade="BF"/>
    </w:rPr>
  </w:style>
  <w:style w:type="paragraph" w:styleId="Citationintense">
    <w:name w:val="Intense Quote"/>
    <w:basedOn w:val="Normal"/>
    <w:next w:val="Normal"/>
    <w:link w:val="CitationintenseCar"/>
    <w:uiPriority w:val="30"/>
    <w:qFormat/>
    <w:rsid w:val="00271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1E36"/>
    <w:rPr>
      <w:i/>
      <w:iCs/>
      <w:color w:val="0F4761" w:themeColor="accent1" w:themeShade="BF"/>
      <w:lang w:val="en-GB"/>
    </w:rPr>
  </w:style>
  <w:style w:type="character" w:styleId="Rfrenceintense">
    <w:name w:val="Intense Reference"/>
    <w:basedOn w:val="Policepardfaut"/>
    <w:uiPriority w:val="32"/>
    <w:qFormat/>
    <w:rsid w:val="00271E36"/>
    <w:rPr>
      <w:b/>
      <w:bCs/>
      <w:smallCaps/>
      <w:color w:val="0F4761" w:themeColor="accent1" w:themeShade="BF"/>
      <w:spacing w:val="5"/>
    </w:rPr>
  </w:style>
  <w:style w:type="paragraph" w:styleId="NormalWeb">
    <w:name w:val="Normal (Web)"/>
    <w:basedOn w:val="Normal"/>
    <w:uiPriority w:val="99"/>
    <w:semiHidden/>
    <w:unhideWhenUsed/>
    <w:rsid w:val="00B7384F"/>
    <w:pPr>
      <w:spacing w:before="100" w:beforeAutospacing="1" w:after="100" w:afterAutospacing="1"/>
    </w:pPr>
    <w:rPr>
      <w:rFonts w:ascii="Times New Roman" w:eastAsia="Times New Roman" w:hAnsi="Times New Roman" w:cs="Times New Roman"/>
      <w:lang w:val="fr-FR" w:eastAsia="fr-FR"/>
    </w:rPr>
  </w:style>
  <w:style w:type="character" w:styleId="lev">
    <w:name w:val="Strong"/>
    <w:basedOn w:val="Policepardfaut"/>
    <w:uiPriority w:val="22"/>
    <w:qFormat/>
    <w:rsid w:val="00B73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ADC42-0868-47E5-9FB0-6657E9422E40}"/>
</file>

<file path=customXml/itemProps2.xml><?xml version="1.0" encoding="utf-8"?>
<ds:datastoreItem xmlns:ds="http://schemas.openxmlformats.org/officeDocument/2006/customXml" ds:itemID="{16D35BD4-8466-4C93-AFF9-1FA4AC584800}"/>
</file>

<file path=customXml/itemProps3.xml><?xml version="1.0" encoding="utf-8"?>
<ds:datastoreItem xmlns:ds="http://schemas.openxmlformats.org/officeDocument/2006/customXml" ds:itemID="{A659219F-4967-4CC3-BD10-403CD10922DD}"/>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4642</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Spada</dc:creator>
  <cp:keywords/>
  <dc:description/>
  <cp:lastModifiedBy>Dominic Spada</cp:lastModifiedBy>
  <cp:revision>3</cp:revision>
  <dcterms:created xsi:type="dcterms:W3CDTF">2025-09-15T15:57:00Z</dcterms:created>
  <dcterms:modified xsi:type="dcterms:W3CDTF">2025-09-15T16:00:00Z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ies>
</file>